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5C" w:rsidRDefault="006F725C" w:rsidP="006F725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"НАЛОГ НА ПРОФДОХОД": ИЗМЕНЕНИЯ В ПОРЯДКЕ ИСПОЛЬЗОВАНИЯ С 08.06.2023</w:t>
      </w:r>
    </w:p>
    <w:p w:rsidR="006F725C" w:rsidRDefault="006F725C" w:rsidP="006F725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F725C" w:rsidRDefault="006F725C" w:rsidP="006F725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Комментарий к постановлению Совмина от 03.06.2023 N 366</w:t>
      </w:r>
    </w:p>
    <w:p w:rsidR="006F725C" w:rsidRDefault="006F725C" w:rsidP="006F725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Постановлением Совмина от 03.06.2023 N 366 "Об изменении постановлений Совета Министров Республики Беларусь" (далее - постановление N 366) внесены изменения и дополнения в порядок использования приложения "Налог на профессиональный доход". Эти изменения вступают в силу с 08.06.2023.</w:t>
      </w: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01.01.2023 в республике для физических лиц введен новый особый режим налогообложения - налог на профессиональный доход (далее - налог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профдоход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). Применять его могут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физлица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которые осуществляют виды деятельности по перечню, определяемому постановлением N 851 (далее - перечень N 851), и (или) деятельность, которая предусмотрена ст. 7 Закона N 230-З. Они обязаны установить и использовать приложение "Налог на профессиональный доход" (далее - приложение) (гл. 40, п. 1 ст. 381 НК).</w:t>
      </w: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Постановлением N 433 утверждено Положение о порядке использования приложения (далее - Положение N 433), в которое постановлением N 366 внесены изменения и дополнения. Рассмотрим эти новшества.</w:t>
      </w: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в Положении N 433 уточнено, что приложение используется плательщиками для формирования и корректировки в нем </w:t>
      </w:r>
      <w:r>
        <w:rPr>
          <w:rFonts w:ascii="Times New Roman" w:hAnsi="Times New Roman" w:cs="Times New Roman"/>
          <w:b/>
          <w:bCs/>
          <w:sz w:val="30"/>
          <w:szCs w:val="30"/>
        </w:rPr>
        <w:t>документов, содержащих записи</w:t>
      </w:r>
      <w:r>
        <w:rPr>
          <w:rFonts w:ascii="Times New Roman" w:hAnsi="Times New Roman" w:cs="Times New Roman"/>
          <w:sz w:val="30"/>
          <w:szCs w:val="30"/>
        </w:rPr>
        <w:t xml:space="preserve"> о совершенных плательщиками расчетах, связанных с получением профессионального дохода. К таковым относятся чеки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1.11 постановления N 366;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>. 3 п. 1, п. 9 Положения N 433).</w:t>
      </w:r>
    </w:p>
    <w:p w:rsidR="006F725C" w:rsidRDefault="006F725C" w:rsidP="006F72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Налоговые органы осуществляют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исполнением плательщиками налогового законодательства посредством налогового контроля. Плательщики налога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профдоход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 являются исключением. В связи с этим в п. 8 Положения N 433 внесено дополнение. С 08.06.2023 сведения о сумме расчетов, передаваемых в налоговый орган плательщиком через приложение в виде сформированного чека, будут использоваться для осуществления налогового контроля (п. 1 ст. 71 НК;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4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1.11,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>. 4 п. 4 постановления N 366; ч. 1 п. 8, п. 13 Положения N 433).</w:t>
      </w:r>
    </w:p>
    <w:p w:rsidR="006F725C" w:rsidRDefault="006F725C" w:rsidP="006F72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п. 8 Положения N 433 закрепляется, что сформированный посредством приложения чек </w:t>
      </w:r>
      <w:r>
        <w:rPr>
          <w:rFonts w:ascii="Times New Roman" w:hAnsi="Times New Roman" w:cs="Times New Roman"/>
          <w:b/>
          <w:bCs/>
          <w:sz w:val="30"/>
          <w:szCs w:val="30"/>
        </w:rPr>
        <w:t>является документом, подтверждающим прием</w:t>
      </w:r>
      <w:r>
        <w:rPr>
          <w:rFonts w:ascii="Times New Roman" w:hAnsi="Times New Roman" w:cs="Times New Roman"/>
          <w:sz w:val="30"/>
          <w:szCs w:val="30"/>
        </w:rPr>
        <w:t xml:space="preserve"> плательщиком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пл</w:t>
      </w:r>
      <w:proofErr w:type="gramEnd"/>
      <w:r>
        <w:rPr>
          <w:rFonts w:ascii="Times New Roman" w:hAnsi="Times New Roman" w:cs="Times New Roman"/>
          <w:sz w:val="30"/>
          <w:szCs w:val="30"/>
        </w:rPr>
        <w:t>атежа при продаже товаров, выполнении работ, оказании услуг (в том числе при приеме предварительной оплаты, аванса, задатка)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6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>
        <w:rPr>
          <w:rFonts w:ascii="Times New Roman" w:hAnsi="Times New Roman" w:cs="Times New Roman"/>
          <w:sz w:val="30"/>
          <w:szCs w:val="30"/>
        </w:rPr>
        <w:t>. 1.11 постановления N 366, ч. 2 п. 8 Положения N 433).</w:t>
      </w:r>
    </w:p>
    <w:p w:rsidR="006F725C" w:rsidRDefault="006F725C" w:rsidP="006F725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Обратите внимание!</w:t>
      </w: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За нарушение порядка приема сре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</w:rPr>
        <w:t>дств пл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 xml:space="preserve">атежа при реализации товаров (работ, услуг) предусмотрена административная ответственность по ст. 13.14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Плательщик обязан сформированный чек передать покупателю (заказчику) в электронной форме или на бумажном носителе. С 08.06.2023 такая обязанность для плательщиков исключена в случае, если покупатель (заказчик) отказался от получения сформированного чека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7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1.11,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>. 4 п. 4 постановления N 366, п. 10 Положения N 433).</w:t>
      </w:r>
    </w:p>
    <w:p w:rsidR="006F725C" w:rsidRDefault="006F725C" w:rsidP="006F72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п. 12 Положения N 433 закреплен перечень реквизитов, которые должны быть указаны в сформированном чеке. С 08.06.2023 такой перечень становится обязательным. Кроме того, он дополняется информацией об адресе и типе жилого помещения, принадлежащего на праве собственности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физлицу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предоставляемого для краткосрочного проживания иным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физлицам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 случае, если плательщик осуществляет деятельность по п. 5 перечня N 851.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 этом такая информация указывается без сокращения путем заполнения в приложении соответствующей информации по виду сделки (операции) - "Аренда" и передачи налоговому органу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8 - 15, 17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1.11,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4 п. 4 постановления N 366;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>. 1 и 10 ч. 1, ч. 2 и 3 п. 12, п. 13 Положения N 433).</w:t>
      </w:r>
      <w:proofErr w:type="gramEnd"/>
    </w:p>
    <w:p w:rsidR="006F725C" w:rsidRDefault="006F725C" w:rsidP="006F72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Ранее порядок формирования чеков плательщиками налога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профдоход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сдаче имущества в аренду разъяснялся МНС (письмо от 10.02.2023 N 3-1-13/00507).</w:t>
      </w:r>
    </w:p>
    <w:p w:rsidR="006F725C" w:rsidRDefault="006F725C" w:rsidP="006F72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08.06.2023 плательщику предоставляется право указывать в чеке иные реквизиты, не являющиеся обязательными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16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1.11,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>. 4 п. 4 постановления N 366; ч. 4 п. 12 Положения N 433).</w:t>
      </w: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F725C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Примечание</w:t>
      </w:r>
    </w:p>
    <w:p w:rsidR="006F725C" w:rsidRPr="00706CC5" w:rsidRDefault="006F725C" w:rsidP="006F72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Физлица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вправе стать плательщиками налога на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профдоход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при осуществлении деятельности по предоставлению принадлежащих на праве собственности физическому лицу иным физическим лицам жилых помещений, садовых домиков, дач для краткосрочного проживания (ст. 378 НК, п. 5 перечня N 851).</w:t>
      </w:r>
    </w:p>
    <w:p w:rsidR="006F725C" w:rsidRDefault="006F725C" w:rsidP="006F725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6F725C" w:rsidRDefault="006F725C" w:rsidP="006F725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Инспекция Министерства по налогам</w:t>
      </w:r>
    </w:p>
    <w:p w:rsidR="006F725C" w:rsidRDefault="006F725C" w:rsidP="006F725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и сборам Республики Беларусь</w:t>
      </w:r>
    </w:p>
    <w:p w:rsidR="006F725C" w:rsidRPr="00606059" w:rsidRDefault="006F725C" w:rsidP="006F725C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по </w:t>
      </w:r>
      <w:proofErr w:type="spellStart"/>
      <w:r>
        <w:rPr>
          <w:rFonts w:ascii="Times New Roman" w:hAnsi="Times New Roman"/>
          <w:sz w:val="28"/>
          <w:szCs w:val="28"/>
        </w:rPr>
        <w:t>Смолевичскому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E1211C" w:rsidRDefault="00E1211C"/>
    <w:sectPr w:rsidR="00E1211C" w:rsidSect="00706CC5">
      <w:pgSz w:w="11906" w:h="16838" w:code="9"/>
      <w:pgMar w:top="993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5C" w:rsidRDefault="006F725C" w:rsidP="006F725C">
      <w:pPr>
        <w:spacing w:before="0" w:after="0" w:line="240" w:lineRule="auto"/>
      </w:pPr>
      <w:r>
        <w:separator/>
      </w:r>
    </w:p>
  </w:endnote>
  <w:endnote w:type="continuationSeparator" w:id="1">
    <w:p w:rsidR="006F725C" w:rsidRDefault="006F725C" w:rsidP="006F72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5C" w:rsidRDefault="006F725C" w:rsidP="006F725C">
      <w:pPr>
        <w:spacing w:before="0" w:after="0" w:line="240" w:lineRule="auto"/>
      </w:pPr>
      <w:r>
        <w:separator/>
      </w:r>
    </w:p>
  </w:footnote>
  <w:footnote w:type="continuationSeparator" w:id="1">
    <w:p w:rsidR="006F725C" w:rsidRDefault="006F725C" w:rsidP="006F725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725C"/>
    <w:rsid w:val="006F725C"/>
    <w:rsid w:val="00E1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C"/>
    <w:pPr>
      <w:spacing w:before="20" w:after="20" w:line="280" w:lineRule="exact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725C"/>
    <w:rPr>
      <w:rFonts w:ascii="Calibri" w:eastAsia="Times New Roman" w:hAnsi="Calibri" w:cs="Calibri"/>
    </w:rPr>
  </w:style>
  <w:style w:type="paragraph" w:customStyle="1" w:styleId="ConsPlusNormal">
    <w:name w:val="ConsPlusNormal"/>
    <w:rsid w:val="006F7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7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725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25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Company>MultiDVD Team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2023-06-23T09:17:00Z</dcterms:created>
  <dcterms:modified xsi:type="dcterms:W3CDTF">2023-06-23T09:19:00Z</dcterms:modified>
</cp:coreProperties>
</file>