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Информация об условиях кредитов КНР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Коммерческая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кредитная линия </w:t>
      </w:r>
      <w:proofErr w:type="spellStart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Эксимбанка</w:t>
      </w:r>
      <w:proofErr w:type="spellEnd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Китая для финансирования малых и средних предприятий на территории Беларуси.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Условия кредитной линии: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 xml:space="preserve">банк-оператор - ОАО «АСБ </w:t>
      </w:r>
      <w:proofErr w:type="spellStart"/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Беларусбанк</w:t>
      </w:r>
      <w:proofErr w:type="spellEnd"/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»;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валюта - доллар США;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процентная ставка - фиксированная, 3,95% годовых; срок - 3 года;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погашение - единовременно в конце срока кредита; 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</w:r>
      <w:hyperlink r:id="rId4" w:history="1">
        <w:r w:rsidRPr="00384724">
          <w:rPr>
            <w:rFonts w:ascii="Helvetica" w:eastAsia="Times New Roman" w:hAnsi="Helvetica" w:cs="Times New Roman"/>
            <w:b/>
            <w:bCs/>
            <w:i/>
            <w:iCs/>
            <w:color w:val="337AB7"/>
            <w:lang w:eastAsia="ru-RU"/>
          </w:rPr>
          <w:t>эффективная процентная ставка</w:t>
        </w:r>
      </w:hyperlink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384724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 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4,2% (без учета маржи банка-оператора);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маржа банка-оператора к процентной ставке - не более 2,0% годовых;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требование по китайской составляющей: не менее 15% от общей суммы кредитуемых СМР; 50% от общей суммы кредитуемых оборудования /материалов;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доля финансирования: до 85% от стоимости коммерческого контракта.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Более масштабные и долгосрочные проекты малого и среднего бизнеса предлагается финансировать за счет </w:t>
      </w: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кредитной линии Банка развития Китая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Банком развития Китая заключены генеральные кредитные соглашения с двумя белорусскими банками о предоставлении кредитных линий - </w:t>
      </w: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 </w:t>
      </w:r>
      <w:proofErr w:type="spellStart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Беларусбанком</w:t>
      </w:r>
      <w:proofErr w:type="spellEnd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и с Банком развития Беларуси.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Условия предоставления кредитных линий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: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срок кредитования — 15 лет, в том числе льготный период 5 лет;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процентная ставка - Либор 6 мес.+4% годовых (на 10.11.2015 -4,6% годовых);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средняя </w:t>
      </w:r>
      <w:hyperlink r:id="rId5" w:history="1">
        <w:r w:rsidRPr="00384724">
          <w:rPr>
            <w:rFonts w:ascii="Helvetica" w:eastAsia="Times New Roman" w:hAnsi="Helvetica" w:cs="Times New Roman"/>
            <w:i/>
            <w:iCs/>
            <w:color w:val="337AB7"/>
            <w:lang w:eastAsia="ru-RU"/>
          </w:rPr>
          <w:t>эффективная процентная ставка</w:t>
        </w:r>
      </w:hyperlink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- 4,9% на 01.10.2015 (без учета маржи белорусских банков).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Минимальная сумма одного кредита или пакета кредитов для направления в Банк развития Китая для одобрения 1 млн. долл. США.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Минимальный размер китайской составляющей: - 50% от всех одобренных Банком кредитов в каждом календарном году.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Достигнуто согласие о выделении в рамках кредитной линии, открытой для </w:t>
      </w:r>
      <w:proofErr w:type="spellStart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Беларусбанка</w:t>
      </w:r>
      <w:proofErr w:type="spellEnd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части ресурсов </w:t>
      </w: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на следующих </w:t>
      </w:r>
      <w:proofErr w:type="gramStart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условиях:</w:t>
      </w: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срок</w:t>
      </w:r>
      <w:proofErr w:type="gramEnd"/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кредитования - 15 лет, в том числе льготный период 5 лет;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hyperlink r:id="rId6" w:history="1">
        <w:r w:rsidRPr="00384724">
          <w:rPr>
            <w:rFonts w:ascii="Helvetica" w:eastAsia="Times New Roman" w:hAnsi="Helvetica" w:cs="Times New Roman"/>
            <w:i/>
            <w:iCs/>
            <w:color w:val="337AB7"/>
            <w:lang w:eastAsia="ru-RU"/>
          </w:rPr>
          <w:t>эффективная процентная ставка</w:t>
        </w:r>
      </w:hyperlink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- 4,8% (без учета маржи белорусского банка);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минимальная сумма одного кредита — 0,3 млн. долл. США; срок одобрения проектов Банком развития Китая - 1 месяц.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Льготные кредитные ресурсы КНР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В долларах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С </w:t>
      </w:r>
      <w:proofErr w:type="spellStart"/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Эксимбанком</w:t>
      </w:r>
      <w:proofErr w:type="spellEnd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зафиксированы 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условия привлечения льготных покупательских кредитов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валюта: доллар США;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процентная ставка: фиксированная, не менее 2% годовых;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срок: до 15-20 лет;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льготный период: до 5-7 лет;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hyperlink r:id="rId7" w:history="1">
        <w:r w:rsidRPr="00384724">
          <w:rPr>
            <w:rFonts w:ascii="Helvetica" w:eastAsia="Times New Roman" w:hAnsi="Helvetica" w:cs="Times New Roman"/>
            <w:i/>
            <w:iCs/>
            <w:color w:val="337AB7"/>
            <w:lang w:eastAsia="ru-RU"/>
          </w:rPr>
          <w:t>эффективная процентная ставка</w:t>
        </w:r>
      </w:hyperlink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(далее - ЭПС): 2,1%;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доля финансирования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: 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до 85%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от стоимости коммерческого контракта (без учета НДС и таможенных пошлин).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Размер китайской составляющей будет согласовываться белорусской стороной с </w:t>
      </w:r>
      <w:proofErr w:type="spellStart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Минкоммерции</w:t>
      </w:r>
      <w:proofErr w:type="spellEnd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Китая индивидуально по каждому проекту. 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Льготные покупательские кредиты предоставляются для реализации исключительно новых проектов.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Генподрядчиком по кредитуемому проекту должна быть китайская компания, выбранная на конкурсе из предварительно рекомендованного </w:t>
      </w:r>
      <w:proofErr w:type="spellStart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Минкоммерции</w:t>
      </w:r>
      <w:proofErr w:type="spellEnd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перечня.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Сумма кредита должна составлять не менее 20 млн. долл. США.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В юанях</w:t>
      </w:r>
    </w:p>
    <w:p w:rsidR="00384724" w:rsidRPr="00384724" w:rsidRDefault="00384724" w:rsidP="00384724">
      <w:pPr>
        <w:shd w:val="clear" w:color="auto" w:fill="EFF3F6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Условия выделения </w:t>
      </w:r>
      <w:proofErr w:type="spellStart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юаневых</w:t>
      </w:r>
      <w:proofErr w:type="spellEnd"/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кредитов аналогичны условиям льготных покупательских кредитов в долларах США.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lastRenderedPageBreak/>
        <w:t>Условия льготных правительственных кредитов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: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 валюта: китайский </w:t>
      </w:r>
      <w:proofErr w:type="gramStart"/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юань;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процентная</w:t>
      </w:r>
      <w:proofErr w:type="gramEnd"/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ставка: фиксированная, 2% годовых;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срок: до 15-20 лет;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льготный период: до 5-7лет;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комиссия за обязательство: 0,25% годовых;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комиссия за организацию: 0,25%;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ЭПС:2,1%;</w:t>
      </w:r>
      <w:r w:rsidRPr="0038472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доля финансирования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: 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до 100%</w:t>
      </w:r>
      <w:r w:rsidRPr="0038472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от стоимости коммерческого контракта.</w:t>
      </w:r>
    </w:p>
    <w:p w:rsidR="00384724" w:rsidRPr="00384724" w:rsidRDefault="00384724" w:rsidP="00384724">
      <w:pPr>
        <w:shd w:val="clear" w:color="auto" w:fill="EFF3F6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8472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УСЛОВИЯ ПРИВЛЕЧЕНИЯ КИТАЙСКИХ КРЕДИТОВ (отдельные линии)</w:t>
      </w:r>
    </w:p>
    <w:tbl>
      <w:tblPr>
        <w:tblW w:w="10632" w:type="dxa"/>
        <w:tblInd w:w="-873" w:type="dxa"/>
        <w:shd w:val="clear" w:color="auto" w:fill="EFF3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1244"/>
        <w:gridCol w:w="1417"/>
        <w:gridCol w:w="1415"/>
        <w:gridCol w:w="1562"/>
        <w:gridCol w:w="1276"/>
        <w:gridCol w:w="1559"/>
      </w:tblGrid>
      <w:tr w:rsidR="00384724" w:rsidRPr="00384724" w:rsidTr="00384724">
        <w:tc>
          <w:tcPr>
            <w:tcW w:w="2159" w:type="dxa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661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Генеральное кредитное соглашение о предоставлении льготного покупательского кредита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Генеральное кредитное соглашение о предоставлении покупательского кредита под гарантии Правительства</w:t>
            </w:r>
          </w:p>
        </w:tc>
        <w:tc>
          <w:tcPr>
            <w:tcW w:w="283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Индикативные условия по новым кредитам</w:t>
            </w:r>
          </w:p>
        </w:tc>
      </w:tr>
      <w:tr w:rsidR="00384724" w:rsidRPr="00384724" w:rsidTr="00384724">
        <w:tc>
          <w:tcPr>
            <w:tcW w:w="2159" w:type="dxa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384724" w:rsidRPr="00384724" w:rsidRDefault="00384724" w:rsidP="00384724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от 7 июня 2010 г.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от 7 ноября 2011 г.</w:t>
            </w:r>
          </w:p>
        </w:tc>
        <w:tc>
          <w:tcPr>
            <w:tcW w:w="14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от 10 мая 2015 г.</w:t>
            </w:r>
          </w:p>
        </w:tc>
        <w:tc>
          <w:tcPr>
            <w:tcW w:w="15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от 10 мая 2015 г.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по льготным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4724" w:rsidRPr="00384724" w:rsidRDefault="00384724" w:rsidP="00384724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b/>
                <w:bCs/>
                <w:color w:val="FFFFFF"/>
                <w:sz w:val="23"/>
                <w:szCs w:val="23"/>
                <w:lang w:eastAsia="ru-RU"/>
              </w:rPr>
              <w:t>по коммерческим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Займодавец</w:t>
            </w:r>
          </w:p>
        </w:tc>
        <w:tc>
          <w:tcPr>
            <w:tcW w:w="2661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Экспортно-импортный банк Китая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Государственный банк развития Китая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Заемщик</w:t>
            </w:r>
          </w:p>
        </w:tc>
        <w:tc>
          <w:tcPr>
            <w:tcW w:w="2661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Правительство Республики Беларусь (в лице Минфина)</w:t>
            </w:r>
          </w:p>
        </w:tc>
        <w:tc>
          <w:tcPr>
            <w:tcW w:w="14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ОАО «Банк развития Республики Беларусь»</w:t>
            </w:r>
          </w:p>
        </w:tc>
        <w:tc>
          <w:tcPr>
            <w:tcW w:w="15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ОАО «АСБ </w:t>
            </w:r>
            <w:proofErr w:type="spellStart"/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Беларусбанк</w:t>
            </w:r>
            <w:proofErr w:type="spellEnd"/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Неиспользованный остаток, млн. долл. США</w:t>
            </w:r>
          </w:p>
        </w:tc>
        <w:tc>
          <w:tcPr>
            <w:tcW w:w="1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5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Срок кредита/льготный период, лет</w:t>
            </w:r>
          </w:p>
        </w:tc>
        <w:tc>
          <w:tcPr>
            <w:tcW w:w="2661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15/5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15/5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20/10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20/10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Ставка, % годовых</w:t>
            </w:r>
          </w:p>
        </w:tc>
        <w:tc>
          <w:tcPr>
            <w:tcW w:w="1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 фиксированная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 фиксированная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шестимесячная ставка LIBOR + маржа банка КНР + маржа белорусского банка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 фиксированная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шестимесячная ставка LIBOR + 3 % (маржа китайского банка)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Эффективная процентная ставка </w:t>
            </w: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для конечного пользователя, % годовых</w:t>
            </w:r>
          </w:p>
        </w:tc>
        <w:tc>
          <w:tcPr>
            <w:tcW w:w="1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3,2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Китайская составляющая в проекте («связанность», % от стоимости контракта (без НДС)</w:t>
            </w:r>
          </w:p>
        </w:tc>
        <w:tc>
          <w:tcPr>
            <w:tcW w:w="1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менее 50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менее 50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менее 50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 0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более 30</w:t>
            </w:r>
          </w:p>
        </w:tc>
      </w:tr>
      <w:tr w:rsidR="00384724" w:rsidRPr="00384724" w:rsidTr="00384724">
        <w:tc>
          <w:tcPr>
            <w:tcW w:w="21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Финансируемая часть контракта, % от стоимости контракта (без НДС)</w:t>
            </w:r>
          </w:p>
        </w:tc>
        <w:tc>
          <w:tcPr>
            <w:tcW w:w="1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более 85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более 95</w:t>
            </w:r>
          </w:p>
        </w:tc>
        <w:tc>
          <w:tcPr>
            <w:tcW w:w="2977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более 85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менее 95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4724" w:rsidRPr="00384724" w:rsidRDefault="00384724" w:rsidP="0038472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8472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 менее 85</w:t>
            </w:r>
          </w:p>
        </w:tc>
      </w:tr>
    </w:tbl>
    <w:p w:rsidR="0016085B" w:rsidRPr="005600A0" w:rsidRDefault="005600A0">
      <w:pPr>
        <w:rPr>
          <w:color w:val="FF0000"/>
          <w:sz w:val="64"/>
          <w:szCs w:val="64"/>
        </w:rPr>
      </w:pPr>
      <w:hyperlink r:id="rId8" w:history="1">
        <w:r w:rsidR="003D5952" w:rsidRPr="005600A0">
          <w:rPr>
            <w:rStyle w:val="a3"/>
            <w:color w:val="FF0000"/>
            <w:sz w:val="64"/>
            <w:szCs w:val="64"/>
          </w:rPr>
          <w:t>http://khotimsk.gov.by/invest/itemlist/category/169-kitajskie-kredity</w:t>
        </w:r>
      </w:hyperlink>
    </w:p>
    <w:sectPr w:rsidR="0016085B" w:rsidRPr="0056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24"/>
    <w:rsid w:val="00001B2F"/>
    <w:rsid w:val="0000707A"/>
    <w:rsid w:val="00011752"/>
    <w:rsid w:val="00031362"/>
    <w:rsid w:val="0003708A"/>
    <w:rsid w:val="00047192"/>
    <w:rsid w:val="00055738"/>
    <w:rsid w:val="000722C4"/>
    <w:rsid w:val="00077642"/>
    <w:rsid w:val="000848A9"/>
    <w:rsid w:val="00091B09"/>
    <w:rsid w:val="000B3822"/>
    <w:rsid w:val="000C417F"/>
    <w:rsid w:val="001032B5"/>
    <w:rsid w:val="001161B9"/>
    <w:rsid w:val="00143EDC"/>
    <w:rsid w:val="00153606"/>
    <w:rsid w:val="0016085B"/>
    <w:rsid w:val="001618DB"/>
    <w:rsid w:val="0018756D"/>
    <w:rsid w:val="00187830"/>
    <w:rsid w:val="001D6EEB"/>
    <w:rsid w:val="001E4381"/>
    <w:rsid w:val="00221242"/>
    <w:rsid w:val="00240F12"/>
    <w:rsid w:val="002435EF"/>
    <w:rsid w:val="00280483"/>
    <w:rsid w:val="00281AE9"/>
    <w:rsid w:val="0029527C"/>
    <w:rsid w:val="00295301"/>
    <w:rsid w:val="002F251B"/>
    <w:rsid w:val="003127B6"/>
    <w:rsid w:val="00344F1B"/>
    <w:rsid w:val="00384724"/>
    <w:rsid w:val="003B096F"/>
    <w:rsid w:val="003C092F"/>
    <w:rsid w:val="003D5952"/>
    <w:rsid w:val="003E31DD"/>
    <w:rsid w:val="00401D12"/>
    <w:rsid w:val="00424631"/>
    <w:rsid w:val="004A3ED0"/>
    <w:rsid w:val="004B07F8"/>
    <w:rsid w:val="004B0E40"/>
    <w:rsid w:val="004D00A6"/>
    <w:rsid w:val="004E1E17"/>
    <w:rsid w:val="004F6D68"/>
    <w:rsid w:val="00501C43"/>
    <w:rsid w:val="00525AD4"/>
    <w:rsid w:val="0053591C"/>
    <w:rsid w:val="005515CF"/>
    <w:rsid w:val="005600A0"/>
    <w:rsid w:val="00584C72"/>
    <w:rsid w:val="0058693F"/>
    <w:rsid w:val="005C58BE"/>
    <w:rsid w:val="005D2F6E"/>
    <w:rsid w:val="00602E7F"/>
    <w:rsid w:val="00606F9E"/>
    <w:rsid w:val="0060758C"/>
    <w:rsid w:val="00613CE8"/>
    <w:rsid w:val="006230F7"/>
    <w:rsid w:val="006332FF"/>
    <w:rsid w:val="00636C8A"/>
    <w:rsid w:val="00670AAE"/>
    <w:rsid w:val="00685B5B"/>
    <w:rsid w:val="006B21A4"/>
    <w:rsid w:val="006E7A5D"/>
    <w:rsid w:val="007C7D92"/>
    <w:rsid w:val="007D39C7"/>
    <w:rsid w:val="0080685F"/>
    <w:rsid w:val="00824C6E"/>
    <w:rsid w:val="00826655"/>
    <w:rsid w:val="00897A38"/>
    <w:rsid w:val="008C1074"/>
    <w:rsid w:val="008E0686"/>
    <w:rsid w:val="008E78CB"/>
    <w:rsid w:val="00910714"/>
    <w:rsid w:val="009245C4"/>
    <w:rsid w:val="00932A01"/>
    <w:rsid w:val="009540B8"/>
    <w:rsid w:val="0095606C"/>
    <w:rsid w:val="00960298"/>
    <w:rsid w:val="00982CCE"/>
    <w:rsid w:val="00982E01"/>
    <w:rsid w:val="00983CA9"/>
    <w:rsid w:val="009A178D"/>
    <w:rsid w:val="009D15AF"/>
    <w:rsid w:val="009E2DA0"/>
    <w:rsid w:val="009E5158"/>
    <w:rsid w:val="00A1417F"/>
    <w:rsid w:val="00A20B7D"/>
    <w:rsid w:val="00A24EBE"/>
    <w:rsid w:val="00A25070"/>
    <w:rsid w:val="00A512F7"/>
    <w:rsid w:val="00AC2106"/>
    <w:rsid w:val="00AD1A78"/>
    <w:rsid w:val="00B14134"/>
    <w:rsid w:val="00B214E6"/>
    <w:rsid w:val="00B23997"/>
    <w:rsid w:val="00B54D6C"/>
    <w:rsid w:val="00B835C3"/>
    <w:rsid w:val="00BE3F2A"/>
    <w:rsid w:val="00C56D80"/>
    <w:rsid w:val="00C7338B"/>
    <w:rsid w:val="00C73FBF"/>
    <w:rsid w:val="00CD5970"/>
    <w:rsid w:val="00CF018C"/>
    <w:rsid w:val="00CF0900"/>
    <w:rsid w:val="00D5613B"/>
    <w:rsid w:val="00D57EC0"/>
    <w:rsid w:val="00D66757"/>
    <w:rsid w:val="00D66A0C"/>
    <w:rsid w:val="00DB179E"/>
    <w:rsid w:val="00DB7F31"/>
    <w:rsid w:val="00DC5335"/>
    <w:rsid w:val="00E02A9B"/>
    <w:rsid w:val="00E50677"/>
    <w:rsid w:val="00E55C49"/>
    <w:rsid w:val="00E65274"/>
    <w:rsid w:val="00E91097"/>
    <w:rsid w:val="00E96E2D"/>
    <w:rsid w:val="00EB2441"/>
    <w:rsid w:val="00EC1B6C"/>
    <w:rsid w:val="00EC4F49"/>
    <w:rsid w:val="00EC6958"/>
    <w:rsid w:val="00ED356A"/>
    <w:rsid w:val="00EE7673"/>
    <w:rsid w:val="00EF0002"/>
    <w:rsid w:val="00F30431"/>
    <w:rsid w:val="00F30CF4"/>
    <w:rsid w:val="00F54A0C"/>
    <w:rsid w:val="00FA3A54"/>
    <w:rsid w:val="00FB740D"/>
    <w:rsid w:val="00FE3E60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0516C-72D5-4C9A-8090-4D82ED92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otimsk.gov.by/invest/itemlist/category/169-kitajskie-kred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hotimsk.gov.by/dfiles/000447_766963_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hotimsk.gov.by/dfiles/000447_766963_.doc" TargetMode="External"/><Relationship Id="rId5" Type="http://schemas.openxmlformats.org/officeDocument/2006/relationships/hyperlink" Target="http://khotimsk.gov.by/dfiles/000447_766963_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khotimsk.gov.by/dfiles/000447_766963_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Кухлевская Анна Викторовеа</dc:creator>
  <cp:lastModifiedBy>Win7Ultimate_x64</cp:lastModifiedBy>
  <cp:revision>2</cp:revision>
  <dcterms:created xsi:type="dcterms:W3CDTF">2020-02-04T08:51:00Z</dcterms:created>
  <dcterms:modified xsi:type="dcterms:W3CDTF">2020-02-04T08:51:00Z</dcterms:modified>
</cp:coreProperties>
</file>