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36EEF" w14:textId="77777777" w:rsidR="000C1650" w:rsidRDefault="000C1650" w:rsidP="000C1650">
      <w:pPr>
        <w:pStyle w:val="ConsPlusTitle"/>
        <w:ind w:left="1495" w:hanging="1495"/>
        <w:jc w:val="center"/>
        <w:rPr>
          <w:b w:val="0"/>
        </w:rPr>
      </w:pPr>
      <w:r>
        <w:t>ИЗМЕНЕНИЯ В ПЕРСОНИФИЦИРОВАННОМ УЧЕТЕ</w:t>
      </w:r>
      <w:r>
        <w:rPr>
          <w:b w:val="0"/>
        </w:rPr>
        <w:t>.</w:t>
      </w:r>
    </w:p>
    <w:p w14:paraId="3713B113" w14:textId="77777777" w:rsidR="000C1650" w:rsidRDefault="000C1650" w:rsidP="000C1650">
      <w:pPr>
        <w:ind w:firstLine="360"/>
        <w:jc w:val="both"/>
        <w:rPr>
          <w:b/>
          <w:bCs/>
          <w:szCs w:val="30"/>
        </w:rPr>
      </w:pPr>
      <w:r>
        <w:rPr>
          <w:szCs w:val="30"/>
        </w:rPr>
        <w:t>Закон Республики Беларусь «Об индивидуальном (персонифицированном) учете в системе государственного социального страхования» действует с 1 января 2003 года, и с этой даты данные, необходимые для назначения пенсии, подтверждаются сведениями персонифицированного учета.</w:t>
      </w:r>
    </w:p>
    <w:p w14:paraId="097CEF1C" w14:textId="77777777" w:rsidR="000C1650" w:rsidRDefault="000C1650" w:rsidP="000C1650">
      <w:pPr>
        <w:ind w:firstLine="360"/>
        <w:jc w:val="both"/>
        <w:rPr>
          <w:szCs w:val="30"/>
        </w:rPr>
      </w:pPr>
      <w:r>
        <w:rPr>
          <w:bCs/>
          <w:szCs w:val="30"/>
        </w:rPr>
        <w:t>На сегодняшний день</w:t>
      </w:r>
      <w:r>
        <w:rPr>
          <w:szCs w:val="30"/>
        </w:rPr>
        <w:t xml:space="preserve"> в системе персонифицированного учета в Минской области открыто около 2 млн. индивидуальных лицевых счетов. </w:t>
      </w:r>
    </w:p>
    <w:p w14:paraId="18EDCA69" w14:textId="77777777" w:rsidR="000C1650" w:rsidRDefault="000C1650" w:rsidP="000C1650">
      <w:pPr>
        <w:ind w:firstLine="360"/>
        <w:jc w:val="both"/>
        <w:rPr>
          <w:szCs w:val="30"/>
        </w:rPr>
      </w:pPr>
      <w:r>
        <w:rPr>
          <w:szCs w:val="30"/>
        </w:rPr>
        <w:t xml:space="preserve">В последние годы существенно возросли потребности в использовании данных персонифицированного учета, которые связаны с защитой прав и  исполнения государственных гарантий по оплате труда работников в части обеспечения ее уровня не ниже минимальной заработной платы и осуществления контроля за расходованием средств государственного социального страхования. </w:t>
      </w:r>
    </w:p>
    <w:p w14:paraId="757ACB53" w14:textId="77777777" w:rsidR="000C1650" w:rsidRDefault="000C1650" w:rsidP="000C1650">
      <w:pPr>
        <w:ind w:firstLine="360"/>
        <w:jc w:val="both"/>
        <w:rPr>
          <w:szCs w:val="30"/>
        </w:rPr>
      </w:pPr>
      <w:r>
        <w:rPr>
          <w:szCs w:val="30"/>
        </w:rPr>
        <w:t xml:space="preserve">Сведения, которые предоставляются посредством подачи документов персонифицированного учета плательщиками, постоянно расширяются. </w:t>
      </w:r>
    </w:p>
    <w:p w14:paraId="02D71D4D" w14:textId="77777777" w:rsidR="000C1650" w:rsidRDefault="000C1650" w:rsidP="000C1650">
      <w:pPr>
        <w:pStyle w:val="a5"/>
        <w:spacing w:before="0" w:beforeAutospacing="0" w:after="0" w:afterAutospacing="0"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С </w:t>
      </w:r>
      <w:r>
        <w:rPr>
          <w:sz w:val="30"/>
          <w:szCs w:val="30"/>
        </w:rPr>
        <w:t>1 июля 2019 г. внесены изменения в законодательство, с учетом которых за 3 квартал 2019 года, наниматели подали сведения в Фонд социальной защиты населения в расширенном формате с указанием базового наименования профессии, должности служащего, присвоения разряда, класса, квалификационной категории, вида заключенного с работником трудового договора, сведений о переводе на другую постоянную работу, основания увольнения, а также о работе на условиях совместительства.</w:t>
      </w:r>
    </w:p>
    <w:p w14:paraId="118BC70D" w14:textId="77777777" w:rsidR="000C1650" w:rsidRDefault="000C1650" w:rsidP="000C1650">
      <w:pPr>
        <w:pStyle w:val="ConsPlusNormal"/>
        <w:ind w:firstLine="540"/>
        <w:jc w:val="both"/>
        <w:rPr>
          <w:bCs/>
          <w:szCs w:val="30"/>
        </w:rPr>
      </w:pPr>
      <w:r>
        <w:rPr>
          <w:bCs/>
          <w:szCs w:val="30"/>
        </w:rPr>
        <w:t xml:space="preserve">4 июня 2020 г.  на заседании Совета Палаты представителей Национального собрания Республики Беларусь рассмотрен проект Закона Республики Беларусь «Об изменении Закона Республики Беларусь «Об индивидуальном (персонифицированном) учете в системе государственного социального страхования». </w:t>
      </w:r>
    </w:p>
    <w:p w14:paraId="3A5FFA6B" w14:textId="77777777" w:rsidR="000C1650" w:rsidRDefault="000C1650" w:rsidP="000C1650">
      <w:pPr>
        <w:pStyle w:val="ConsPlusNormal"/>
        <w:ind w:firstLine="540"/>
        <w:jc w:val="both"/>
        <w:rPr>
          <w:szCs w:val="30"/>
        </w:rPr>
      </w:pPr>
      <w:r>
        <w:rPr>
          <w:szCs w:val="30"/>
        </w:rPr>
        <w:t xml:space="preserve">Каковы же основные изменения, вносимые в представленный проект Закона? </w:t>
      </w:r>
    </w:p>
    <w:p w14:paraId="0F16AA4C" w14:textId="77777777" w:rsidR="000C1650" w:rsidRDefault="000C1650" w:rsidP="000C1650">
      <w:pPr>
        <w:pStyle w:val="ConsPlusNormal"/>
        <w:ind w:firstLine="540"/>
        <w:jc w:val="both"/>
        <w:rPr>
          <w:szCs w:val="30"/>
        </w:rPr>
      </w:pPr>
      <w:r>
        <w:rPr>
          <w:szCs w:val="30"/>
        </w:rPr>
        <w:t xml:space="preserve">Эти изменения касаются содержательной части индивидуального лицевого счета застрахованного лица. Индивидуальный лицевой </w:t>
      </w:r>
      <w:hyperlink r:id="rId6" w:history="1">
        <w:r>
          <w:rPr>
            <w:rStyle w:val="a6"/>
            <w:color w:val="auto"/>
            <w:szCs w:val="30"/>
            <w:u w:val="none"/>
          </w:rPr>
          <w:t>счет</w:t>
        </w:r>
      </w:hyperlink>
      <w:r>
        <w:rPr>
          <w:szCs w:val="30"/>
        </w:rPr>
        <w:t xml:space="preserve"> застрахованного лица  дополняется:</w:t>
      </w:r>
    </w:p>
    <w:p w14:paraId="738FEDC3" w14:textId="77777777" w:rsidR="000C1650" w:rsidRDefault="000C1650" w:rsidP="000C1650">
      <w:pPr>
        <w:pStyle w:val="ConsPlusNormal"/>
        <w:ind w:firstLine="540"/>
        <w:jc w:val="both"/>
        <w:rPr>
          <w:szCs w:val="30"/>
        </w:rPr>
      </w:pPr>
      <w:r>
        <w:rPr>
          <w:szCs w:val="30"/>
        </w:rPr>
        <w:t xml:space="preserve"> сведениями о:</w:t>
      </w:r>
    </w:p>
    <w:p w14:paraId="73A14EF8" w14:textId="77777777" w:rsidR="000C1650" w:rsidRDefault="000C1650" w:rsidP="000C1650">
      <w:pPr>
        <w:pStyle w:val="ConsPlusNormal"/>
        <w:ind w:firstLine="540"/>
        <w:jc w:val="both"/>
        <w:rPr>
          <w:szCs w:val="30"/>
        </w:rPr>
      </w:pPr>
      <w:r>
        <w:rPr>
          <w:szCs w:val="30"/>
        </w:rPr>
        <w:t xml:space="preserve"> периодах трудовой деятельности:</w:t>
      </w:r>
    </w:p>
    <w:p w14:paraId="0E5F6720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 xml:space="preserve">место работы с указанием структурного подразделения, в котором работает застрахованное лицо, </w:t>
      </w:r>
    </w:p>
    <w:p w14:paraId="7D03E0CE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 xml:space="preserve">наименование должности служащего, профессии рабочего в соответствии с квалификационными справочниками, утверждаемыми в порядке, определяемом Правительством Республики Беларусь, </w:t>
      </w:r>
      <w:r>
        <w:rPr>
          <w:szCs w:val="30"/>
        </w:rPr>
        <w:lastRenderedPageBreak/>
        <w:t>нормативными правовыми актами, регламентирующими деятельность работников по отдельным должностям служащих, и трудовым договором,</w:t>
      </w:r>
    </w:p>
    <w:p w14:paraId="18D44928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 xml:space="preserve"> 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ранга), </w:t>
      </w:r>
    </w:p>
    <w:p w14:paraId="230742FF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 xml:space="preserve">сведения о переводе на другую постоянную работу, </w:t>
      </w:r>
    </w:p>
    <w:p w14:paraId="68A204B4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>сведения об основании увольнения;</w:t>
      </w:r>
    </w:p>
    <w:p w14:paraId="2A9B65F4" w14:textId="77777777" w:rsidR="000C1650" w:rsidRDefault="000C1650" w:rsidP="000C1650">
      <w:pPr>
        <w:rPr>
          <w:szCs w:val="30"/>
        </w:rPr>
      </w:pPr>
      <w:r>
        <w:rPr>
          <w:szCs w:val="30"/>
        </w:rPr>
        <w:t>работе по гражданско-правовому договору: номер и дата, период выполнения работ, оказания услуг и создания интеллектуальной собственности;</w:t>
      </w:r>
    </w:p>
    <w:p w14:paraId="26A2FF15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>предпринимательской, творческой и иной деятельности: периоды осуществления и неосуществления деятельности;</w:t>
      </w:r>
    </w:p>
    <w:p w14:paraId="5620A05E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 xml:space="preserve"> причиной начисления выплат (дохода), на которые начисляются страховые взносы, ниже месячной минимальной заработной платы, установленной в соответствии с </w:t>
      </w:r>
      <w:proofErr w:type="gramStart"/>
      <w:r>
        <w:rPr>
          <w:szCs w:val="30"/>
        </w:rPr>
        <w:t>законодательством ;</w:t>
      </w:r>
      <w:proofErr w:type="gramEnd"/>
    </w:p>
    <w:p w14:paraId="3CB52AE3" w14:textId="77777777" w:rsidR="000C1650" w:rsidRDefault="000C1650" w:rsidP="000C1650">
      <w:pPr>
        <w:jc w:val="both"/>
        <w:rPr>
          <w:szCs w:val="30"/>
        </w:rPr>
      </w:pPr>
      <w:r>
        <w:rPr>
          <w:szCs w:val="30"/>
        </w:rPr>
        <w:t>периодами получения ежемесячной доплаты к заработной плате вместо профессионального пенсионного страхования и другими сведениями, необходимыми для назначения и выплаты пенсии и (или) пособия, контроля за правильностью использования средств государственного социального страхования в установленных законодательством случаях.</w:t>
      </w:r>
    </w:p>
    <w:p w14:paraId="0D3B2028" w14:textId="77777777" w:rsidR="000C1650" w:rsidRDefault="000C1650" w:rsidP="000C1650">
      <w:pPr>
        <w:ind w:firstLine="540"/>
        <w:jc w:val="both"/>
        <w:rPr>
          <w:szCs w:val="30"/>
        </w:rPr>
      </w:pPr>
      <w:r>
        <w:rPr>
          <w:szCs w:val="30"/>
        </w:rPr>
        <w:t xml:space="preserve">Накопление на индивидуальном лицевом счете подробной информации о трудовой деятельности работника будет способствовать переходу на электронный учет трудовой деятельности граждан и отмене в перспективе бумажных трудовых книжек.  </w:t>
      </w:r>
    </w:p>
    <w:p w14:paraId="304D6245" w14:textId="77777777" w:rsidR="000C1650" w:rsidRDefault="000C1650" w:rsidP="000C1650">
      <w:pPr>
        <w:ind w:firstLine="540"/>
        <w:jc w:val="both"/>
        <w:rPr>
          <w:szCs w:val="30"/>
        </w:rPr>
      </w:pPr>
      <w:r>
        <w:rPr>
          <w:szCs w:val="30"/>
        </w:rPr>
        <w:t xml:space="preserve">Само введение электронного учета трудовой деятельности внесет положительные моменты, как для граждан: электронный учет в отличие от бумажного позволит сохранить всю информацию о трудовой деятельности человека  (электронную трудовую книжку в отличие от бумажной нельзя потерять, а также избавит гражданина от необходимости представления трудовой книжки в государственные органы и учреждения при его обращении за назначением пенсии, пособий, другими услугами), так и для нанимателей </w:t>
      </w:r>
      <w:proofErr w:type="gramStart"/>
      <w:r>
        <w:rPr>
          <w:szCs w:val="30"/>
        </w:rPr>
        <w:t>-  исключит</w:t>
      </w:r>
      <w:proofErr w:type="gramEnd"/>
      <w:r>
        <w:rPr>
          <w:szCs w:val="30"/>
        </w:rPr>
        <w:t xml:space="preserve"> затраты, связанные с ведением и хранением трудовых книжек.</w:t>
      </w:r>
    </w:p>
    <w:p w14:paraId="23BFAC56" w14:textId="77777777" w:rsidR="000C1650" w:rsidRPr="007B319E" w:rsidRDefault="000C1650" w:rsidP="000C1650">
      <w:pPr>
        <w:pStyle w:val="ConsPlusNormal"/>
        <w:ind w:firstLine="540"/>
        <w:jc w:val="both"/>
      </w:pPr>
    </w:p>
    <w:p w14:paraId="0B432CB9" w14:textId="77777777" w:rsidR="00A52E17" w:rsidRDefault="00A52E17" w:rsidP="00A52E17">
      <w:pPr>
        <w:pStyle w:val="ConsPlusNormal"/>
        <w:jc w:val="both"/>
      </w:pPr>
      <w:r>
        <w:t>Начальник Смолевичского отдела</w:t>
      </w:r>
    </w:p>
    <w:p w14:paraId="2B1761A4" w14:textId="77777777" w:rsidR="00A52E17" w:rsidRDefault="00A52E17" w:rsidP="00A52E17">
      <w:pPr>
        <w:pStyle w:val="ConsPlusNormal"/>
        <w:jc w:val="both"/>
      </w:pPr>
      <w:proofErr w:type="spellStart"/>
      <w:r>
        <w:t>Миноблуправления</w:t>
      </w:r>
      <w:proofErr w:type="spellEnd"/>
      <w:r>
        <w:t xml:space="preserve"> Фонда социальной</w:t>
      </w:r>
    </w:p>
    <w:p w14:paraId="3B099F67" w14:textId="77777777" w:rsidR="00A52E17" w:rsidRPr="00A52E17" w:rsidRDefault="00A52E17" w:rsidP="00A52E17">
      <w:pPr>
        <w:pStyle w:val="ConsPlusNormal"/>
        <w:jc w:val="both"/>
      </w:pPr>
      <w:r>
        <w:t xml:space="preserve">защиты населения                                  </w:t>
      </w:r>
      <w:r>
        <w:tab/>
      </w:r>
      <w:r>
        <w:tab/>
      </w:r>
      <w:r>
        <w:tab/>
        <w:t xml:space="preserve">      </w:t>
      </w:r>
      <w:proofErr w:type="spellStart"/>
      <w:r>
        <w:t>Л.Карась</w:t>
      </w:r>
      <w:proofErr w:type="spellEnd"/>
      <w:r>
        <w:tab/>
        <w:t xml:space="preserve"> </w:t>
      </w:r>
    </w:p>
    <w:p w14:paraId="7B350F8D" w14:textId="77777777" w:rsidR="00A52E17" w:rsidRPr="00A52E17" w:rsidRDefault="00A52E17" w:rsidP="000C1650">
      <w:pPr>
        <w:pStyle w:val="ConsPlusNormal"/>
        <w:ind w:firstLine="540"/>
        <w:jc w:val="both"/>
      </w:pPr>
    </w:p>
    <w:p w14:paraId="3DA28BF5" w14:textId="77777777" w:rsidR="009D1161" w:rsidRDefault="009D1161">
      <w:pPr>
        <w:jc w:val="both"/>
      </w:pPr>
    </w:p>
    <w:sectPr w:rsidR="009D116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5418B" w14:textId="77777777" w:rsidR="00D2055F" w:rsidRDefault="00D2055F">
      <w:r>
        <w:separator/>
      </w:r>
    </w:p>
  </w:endnote>
  <w:endnote w:type="continuationSeparator" w:id="0">
    <w:p w14:paraId="6288D4E0" w14:textId="77777777" w:rsidR="00D2055F" w:rsidRDefault="00D2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4143D" w14:textId="77777777" w:rsidR="00D2055F" w:rsidRDefault="00D2055F">
      <w:r>
        <w:separator/>
      </w:r>
    </w:p>
  </w:footnote>
  <w:footnote w:type="continuationSeparator" w:id="0">
    <w:p w14:paraId="601C4E42" w14:textId="77777777" w:rsidR="00D2055F" w:rsidRDefault="00D2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9C70" w14:textId="77777777" w:rsidR="009D1161" w:rsidRDefault="00A224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A26C0C" w14:textId="77777777" w:rsidR="009D1161" w:rsidRDefault="009D11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5D8CB" w14:textId="77777777" w:rsidR="009D1161" w:rsidRDefault="00A224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319E">
      <w:rPr>
        <w:rStyle w:val="a4"/>
        <w:noProof/>
      </w:rPr>
      <w:t>2</w:t>
    </w:r>
    <w:r>
      <w:rPr>
        <w:rStyle w:val="a4"/>
      </w:rPr>
      <w:fldChar w:fldCharType="end"/>
    </w:r>
  </w:p>
  <w:p w14:paraId="546AAC20" w14:textId="77777777" w:rsidR="009D1161" w:rsidRDefault="009D11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02"/>
    <w:rsid w:val="000C1650"/>
    <w:rsid w:val="00154FC3"/>
    <w:rsid w:val="004D05C6"/>
    <w:rsid w:val="007909D9"/>
    <w:rsid w:val="007A28A1"/>
    <w:rsid w:val="007B319E"/>
    <w:rsid w:val="009B630F"/>
    <w:rsid w:val="009D1161"/>
    <w:rsid w:val="00A22420"/>
    <w:rsid w:val="00A52E17"/>
    <w:rsid w:val="00B0324B"/>
    <w:rsid w:val="00B2659A"/>
    <w:rsid w:val="00C91402"/>
    <w:rsid w:val="00CB0FF5"/>
    <w:rsid w:val="00D2055F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C6B43"/>
  <w15:docId w15:val="{81C37B04-061F-4C75-8FBE-66AF8266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650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Normal (Web)"/>
    <w:basedOn w:val="a"/>
    <w:uiPriority w:val="99"/>
    <w:unhideWhenUsed/>
    <w:rsid w:val="000C1650"/>
    <w:pPr>
      <w:spacing w:before="100" w:beforeAutospacing="1" w:after="100" w:afterAutospacing="1" w:line="360" w:lineRule="auto"/>
      <w:ind w:firstLine="0"/>
    </w:pPr>
    <w:rPr>
      <w:sz w:val="24"/>
    </w:rPr>
  </w:style>
  <w:style w:type="paragraph" w:customStyle="1" w:styleId="ConsPlusNormal">
    <w:name w:val="ConsPlusNormal"/>
    <w:uiPriority w:val="99"/>
    <w:rsid w:val="000C1650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uiPriority w:val="99"/>
    <w:rsid w:val="000C1650"/>
    <w:pPr>
      <w:widowControl w:val="0"/>
      <w:autoSpaceDE w:val="0"/>
      <w:autoSpaceDN w:val="0"/>
    </w:pPr>
    <w:rPr>
      <w:b/>
      <w:sz w:val="30"/>
    </w:rPr>
  </w:style>
  <w:style w:type="character" w:styleId="a6">
    <w:name w:val="Hyperlink"/>
    <w:basedOn w:val="a0"/>
    <w:uiPriority w:val="99"/>
    <w:unhideWhenUsed/>
    <w:rsid w:val="000C1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6E71C4E8177E2CA1494BE94A2F241F02FABA859606CB6EDF382F4EB7C69D2B8EBDE93371A792EDC59BCEB9FA697D8695E19E93EB87323A228A73E53DW9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Пользователь</cp:lastModifiedBy>
  <cp:revision>2</cp:revision>
  <cp:lastPrinted>2020-09-09T11:51:00Z</cp:lastPrinted>
  <dcterms:created xsi:type="dcterms:W3CDTF">2020-09-10T14:18:00Z</dcterms:created>
  <dcterms:modified xsi:type="dcterms:W3CDTF">2020-09-10T14:18:00Z</dcterms:modified>
</cp:coreProperties>
</file>