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62D" w:rsidRDefault="00F3023C">
      <w:pPr>
        <w:pStyle w:val="30"/>
        <w:shd w:val="clear" w:color="auto" w:fill="auto"/>
        <w:spacing w:after="296"/>
        <w:ind w:left="2400"/>
      </w:pPr>
      <w:r>
        <w:t>Об обеспечении дифференцированного учета при реализации товаров, подлежащих маркировке</w:t>
      </w:r>
    </w:p>
    <w:p w:rsidR="00FD062D" w:rsidRDefault="00F3023C">
      <w:pPr>
        <w:pStyle w:val="30"/>
        <w:shd w:val="clear" w:color="auto" w:fill="auto"/>
        <w:spacing w:after="0" w:line="341" w:lineRule="exact"/>
        <w:ind w:firstLine="780"/>
        <w:jc w:val="both"/>
      </w:pPr>
      <w:r>
        <w:t>С 01.07.2025 для юридических лиц и индивидуальных предпринимателей, осуществляющих продажу товаров, подлежащих маркировке средствами идентификации (далее - СИ) и унифицированными контрольными знаками (далее - УКЗ), вводится обязанность обеспечивать дифференцированный учет данных о реализуемых товарах, предусмотренный пунктом 10 Положения № 924/16, вне зависимости от размера торговой площади торгового объекта (абзац третий части первой пункта 10</w:t>
      </w:r>
      <w:r>
        <w:rPr>
          <w:vertAlign w:val="superscript"/>
        </w:rPr>
        <w:t>1</w:t>
      </w:r>
      <w:r>
        <w:t xml:space="preserve"> Положения № 924/16 в редакции постановления Совета Министров Республики Беларусь и Национального банка Республики Беларусь от 07.12.2022 № 841/27 «Об изменении постановлений Совета Министров Республики Беларусь и Национального банка Республики Беларусь от 6 июля 2011 г. № 924/16 и от 3 марта 2022 г. № 114/6»).</w:t>
      </w:r>
    </w:p>
    <w:p w:rsidR="00FD062D" w:rsidRDefault="00F3023C">
      <w:pPr>
        <w:pStyle w:val="30"/>
        <w:shd w:val="clear" w:color="auto" w:fill="auto"/>
        <w:spacing w:after="0" w:line="346" w:lineRule="exact"/>
        <w:ind w:firstLine="780"/>
        <w:jc w:val="both"/>
      </w:pPr>
      <w:r>
        <w:t>Для обеспечения требований по реализации маркированных товаров субъектам хозяйствования необходимо:</w:t>
      </w:r>
    </w:p>
    <w:p w:rsidR="00FD062D" w:rsidRDefault="00F3023C">
      <w:pPr>
        <w:pStyle w:val="3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346" w:lineRule="exact"/>
        <w:ind w:firstLine="780"/>
        <w:jc w:val="both"/>
      </w:pPr>
      <w:r>
        <w:t>Изучить перечни товаров, подлежащих маркировке средствами идентификации и унифицированными контрольными знаками.</w:t>
      </w:r>
    </w:p>
    <w:p w:rsidR="00FD062D" w:rsidRDefault="00F3023C">
      <w:pPr>
        <w:pStyle w:val="30"/>
        <w:numPr>
          <w:ilvl w:val="0"/>
          <w:numId w:val="1"/>
        </w:numPr>
        <w:shd w:val="clear" w:color="auto" w:fill="auto"/>
        <w:tabs>
          <w:tab w:val="left" w:pos="1243"/>
        </w:tabs>
        <w:spacing w:after="0" w:line="341" w:lineRule="exact"/>
        <w:ind w:firstLine="780"/>
        <w:jc w:val="both"/>
      </w:pPr>
      <w:r>
        <w:t>В случае реализации подлежащих маркировке товаров приобрести (доработать) кассовое оборудование, обеспечивающее дифференцированный учет данных о товарах и реализацию маркированных товаров.</w:t>
      </w:r>
    </w:p>
    <w:p w:rsidR="00FD062D" w:rsidRDefault="00F3023C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ind w:firstLine="740"/>
      </w:pPr>
      <w:bookmarkStart w:id="0" w:name="_GoBack"/>
      <w:bookmarkEnd w:id="0"/>
      <w:r>
        <w:rPr>
          <w:rStyle w:val="21"/>
        </w:rPr>
        <w:t xml:space="preserve">Проинформировать поставщиков товаров </w:t>
      </w:r>
      <w:r>
        <w:t xml:space="preserve">о необходимости поставки товаров с нанесенными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>.</w:t>
      </w:r>
    </w:p>
    <w:p w:rsidR="00FD062D" w:rsidRDefault="00F3023C">
      <w:pPr>
        <w:pStyle w:val="20"/>
        <w:shd w:val="clear" w:color="auto" w:fill="auto"/>
        <w:ind w:firstLine="740"/>
      </w:pPr>
      <w:r>
        <w:t xml:space="preserve">При этом следует учитывать, что </w:t>
      </w:r>
      <w:r>
        <w:rPr>
          <w:rStyle w:val="21"/>
        </w:rPr>
        <w:t xml:space="preserve">в случае приобретения товаров без нанесенных </w:t>
      </w:r>
      <w:r>
        <w:rPr>
          <w:rStyle w:val="21"/>
          <w:lang w:val="en-US" w:eastAsia="en-US" w:bidi="en-US"/>
        </w:rPr>
        <w:t>GTIN</w:t>
      </w:r>
      <w:r w:rsidRPr="00F3023C">
        <w:rPr>
          <w:rStyle w:val="21"/>
          <w:lang w:eastAsia="en-US" w:bidi="en-US"/>
        </w:rPr>
        <w:t xml:space="preserve"> </w:t>
      </w:r>
      <w:r>
        <w:t xml:space="preserve">субъектам торговли для целей выполнения норм пункта 10 Положения № 924/16 </w:t>
      </w:r>
      <w:r>
        <w:rPr>
          <w:rStyle w:val="21"/>
        </w:rPr>
        <w:t xml:space="preserve">необходимо обращаться в Ассоциацию автоматической идентификации ГС1 Беларуси </w:t>
      </w:r>
      <w:r>
        <w:t xml:space="preserve">для самостоятельного получения и нанесения на реализуемые товары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 </w:t>
      </w:r>
      <w:r>
        <w:t>(за исключением товаров, указанных в пункте 23 Положения о товарной нумерации и штриховом кодировании товаров (продукции) в Республике Беларусь, утвержденного постановлением Совета Министров Республики Беларусь от 24.05.2000 № 748).</w:t>
      </w:r>
    </w:p>
    <w:p w:rsidR="00FD062D" w:rsidRDefault="00F3023C">
      <w:pPr>
        <w:pStyle w:val="30"/>
        <w:numPr>
          <w:ilvl w:val="0"/>
          <w:numId w:val="2"/>
        </w:numPr>
        <w:shd w:val="clear" w:color="auto" w:fill="auto"/>
        <w:tabs>
          <w:tab w:val="left" w:pos="1088"/>
        </w:tabs>
        <w:spacing w:after="0" w:line="341" w:lineRule="exact"/>
        <w:ind w:firstLine="740"/>
        <w:jc w:val="both"/>
      </w:pPr>
      <w:r>
        <w:t xml:space="preserve">При реализации товаров обеспечивать считывание </w:t>
      </w:r>
      <w:r>
        <w:rPr>
          <w:lang w:val="en-US" w:eastAsia="en-US" w:bidi="en-US"/>
        </w:rPr>
        <w:t>GTIN</w:t>
      </w:r>
      <w:r w:rsidRPr="00F3023C">
        <w:rPr>
          <w:rStyle w:val="31"/>
          <w:lang w:eastAsia="en-US" w:bidi="en-US"/>
        </w:rPr>
        <w:t>,</w:t>
      </w:r>
    </w:p>
    <w:p w:rsidR="00FD062D" w:rsidRDefault="00F3023C">
      <w:pPr>
        <w:pStyle w:val="20"/>
        <w:shd w:val="clear" w:color="auto" w:fill="auto"/>
      </w:pPr>
      <w:r>
        <w:t>средств идентификации и (или) УКЗ, а также формирование в платежном документе информации, определенной в требованиях к кассовому суммирующему аппарату (постановление № 29/99) или программной кассе (постановление № 10).</w:t>
      </w:r>
    </w:p>
    <w:p w:rsidR="00FD062D" w:rsidRDefault="00F3023C">
      <w:pPr>
        <w:pStyle w:val="20"/>
        <w:shd w:val="clear" w:color="auto" w:fill="auto"/>
        <w:ind w:firstLine="740"/>
      </w:pPr>
      <w:r>
        <w:t xml:space="preserve">Обращаем внимание, </w:t>
      </w:r>
      <w:proofErr w:type="gramStart"/>
      <w:r>
        <w:t>что в случае если</w:t>
      </w:r>
      <w:proofErr w:type="gramEnd"/>
      <w:r>
        <w:t xml:space="preserve"> кассовое оборудование обеспечивает возможность извлечения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 </w:t>
      </w:r>
      <w:r>
        <w:t xml:space="preserve">из считанного кода маркировки, в </w:t>
      </w:r>
      <w:r>
        <w:lastRenderedPageBreak/>
        <w:t xml:space="preserve">таком кассовом оборудовании может быть реализована возможность передачи извлеченного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 </w:t>
      </w:r>
      <w:r>
        <w:t>в СККО без необходимости дополнительного считывания такого номера.</w:t>
      </w:r>
    </w:p>
    <w:p w:rsidR="00FD062D" w:rsidRDefault="00F3023C">
      <w:pPr>
        <w:pStyle w:val="20"/>
        <w:shd w:val="clear" w:color="auto" w:fill="auto"/>
        <w:ind w:firstLine="740"/>
      </w:pPr>
      <w:r>
        <w:t xml:space="preserve">При реализации в кассовом оборудовании такого функционала, эта особенность </w:t>
      </w:r>
      <w:r>
        <w:rPr>
          <w:rStyle w:val="21"/>
        </w:rPr>
        <w:t xml:space="preserve">должна быть отражена </w:t>
      </w:r>
      <w:r>
        <w:t xml:space="preserve">в эксплуатационной документации на кассовое оборудование, включающей руководство пользователя, </w:t>
      </w:r>
      <w:r>
        <w:rPr>
          <w:rStyle w:val="21"/>
        </w:rPr>
        <w:t xml:space="preserve">а также указываться </w:t>
      </w:r>
      <w:r>
        <w:t>при подаче документов (копий документов) на оценку программной кассы на соответствие предъявляемым требованиям.</w:t>
      </w:r>
    </w:p>
    <w:p w:rsidR="00FD062D" w:rsidRDefault="00F3023C">
      <w:pPr>
        <w:pStyle w:val="20"/>
        <w:shd w:val="clear" w:color="auto" w:fill="auto"/>
        <w:ind w:firstLine="740"/>
      </w:pPr>
      <w:r>
        <w:t xml:space="preserve">При использовании такого функционала ответственность за достоверность информации (соответствие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, </w:t>
      </w:r>
      <w:r>
        <w:t xml:space="preserve">нанесенного на маркированный товар, и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, </w:t>
      </w:r>
      <w:r>
        <w:t>включенного в код маркировки и переданного в СККО) возлагается на субъекта торговли, реализующего товары, подлежащие маркировке.</w:t>
      </w:r>
    </w:p>
    <w:p w:rsidR="00F3023C" w:rsidRDefault="00F3023C">
      <w:pPr>
        <w:pStyle w:val="20"/>
        <w:shd w:val="clear" w:color="auto" w:fill="auto"/>
        <w:ind w:firstLine="740"/>
      </w:pPr>
    </w:p>
    <w:p w:rsidR="00F3023C" w:rsidRPr="00F3023C" w:rsidRDefault="00F3023C" w:rsidP="00F3023C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</w:t>
      </w:r>
      <w:r w:rsidRPr="00F3023C">
        <w:rPr>
          <w:rFonts w:ascii="Times New Roman" w:hAnsi="Times New Roman" w:cs="Times New Roman"/>
          <w:b/>
          <w:sz w:val="30"/>
          <w:szCs w:val="30"/>
        </w:rPr>
        <w:t xml:space="preserve">Инспекция Министерства по налогам и сборам  </w:t>
      </w:r>
    </w:p>
    <w:p w:rsidR="00F3023C" w:rsidRPr="00F3023C" w:rsidRDefault="00F3023C" w:rsidP="00F3023C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F3023C">
        <w:rPr>
          <w:rFonts w:ascii="Times New Roman" w:hAnsi="Times New Roman" w:cs="Times New Roman"/>
          <w:b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</w:t>
      </w:r>
      <w:r w:rsidRPr="00F3023C">
        <w:rPr>
          <w:rFonts w:ascii="Times New Roman" w:hAnsi="Times New Roman" w:cs="Times New Roman"/>
          <w:b/>
          <w:sz w:val="30"/>
          <w:szCs w:val="30"/>
        </w:rPr>
        <w:t xml:space="preserve">Республики Беларусь по </w:t>
      </w:r>
      <w:proofErr w:type="spellStart"/>
      <w:r w:rsidRPr="00F3023C">
        <w:rPr>
          <w:rFonts w:ascii="Times New Roman" w:hAnsi="Times New Roman" w:cs="Times New Roman"/>
          <w:b/>
          <w:sz w:val="30"/>
          <w:szCs w:val="30"/>
        </w:rPr>
        <w:t>Смолевичскому</w:t>
      </w:r>
      <w:proofErr w:type="spellEnd"/>
      <w:r w:rsidRPr="00F3023C">
        <w:rPr>
          <w:rFonts w:ascii="Times New Roman" w:hAnsi="Times New Roman" w:cs="Times New Roman"/>
          <w:b/>
          <w:sz w:val="30"/>
          <w:szCs w:val="30"/>
        </w:rPr>
        <w:t xml:space="preserve"> району</w:t>
      </w:r>
    </w:p>
    <w:p w:rsidR="00F3023C" w:rsidRDefault="00F3023C">
      <w:pPr>
        <w:pStyle w:val="20"/>
        <w:shd w:val="clear" w:color="auto" w:fill="auto"/>
        <w:ind w:firstLine="740"/>
      </w:pPr>
    </w:p>
    <w:sectPr w:rsidR="00F3023C">
      <w:headerReference w:type="default" r:id="rId7"/>
      <w:pgSz w:w="11900" w:h="16840"/>
      <w:pgMar w:top="1172" w:right="807" w:bottom="1436" w:left="164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23C" w:rsidRDefault="00F3023C">
      <w:r>
        <w:separator/>
      </w:r>
    </w:p>
  </w:endnote>
  <w:endnote w:type="continuationSeparator" w:id="0">
    <w:p w:rsidR="00F3023C" w:rsidRDefault="00F3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23C" w:rsidRDefault="00F3023C"/>
  </w:footnote>
  <w:footnote w:type="continuationSeparator" w:id="0">
    <w:p w:rsidR="00F3023C" w:rsidRDefault="00F30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62D" w:rsidRDefault="00F302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4017010</wp:posOffset>
              </wp:positionH>
              <wp:positionV relativeFrom="page">
                <wp:posOffset>494030</wp:posOffset>
              </wp:positionV>
              <wp:extent cx="64135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62D" w:rsidRDefault="00F3023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3pt;margin-top:38.9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" filled="f" stroked="f">
              <v:textbox style="mso-fit-shape-to-text:t" inset="0,0,0,0">
                <w:txbxContent>
                  <w:p w:rsidR="00FD062D" w:rsidRDefault="00F3023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31C21"/>
    <w:multiLevelType w:val="multilevel"/>
    <w:tmpl w:val="A46E9C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1A5BC5"/>
    <w:multiLevelType w:val="multilevel"/>
    <w:tmpl w:val="9D14A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62D"/>
    <w:rsid w:val="00D14911"/>
    <w:rsid w:val="00F3023C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1AE812-AC39-43D1-971E-79512B3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36" w:lineRule="exact"/>
      <w:ind w:hanging="14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4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Коледа Татьяна Леонидовна</cp:lastModifiedBy>
  <cp:revision>2</cp:revision>
  <dcterms:created xsi:type="dcterms:W3CDTF">2024-02-27T06:14:00Z</dcterms:created>
  <dcterms:modified xsi:type="dcterms:W3CDTF">2024-07-08T12:32:00Z</dcterms:modified>
</cp:coreProperties>
</file>