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BA39" w14:textId="77777777" w:rsidR="00B07425" w:rsidRDefault="00B07425" w:rsidP="00B07425">
      <w:pPr>
        <w:jc w:val="center"/>
        <w:rPr>
          <w:b/>
          <w:bCs/>
          <w:color w:val="000000" w:themeColor="text1"/>
        </w:rPr>
      </w:pPr>
      <w:r w:rsidRPr="00B16139">
        <w:rPr>
          <w:b/>
          <w:bCs/>
          <w:color w:val="000000" w:themeColor="text1"/>
        </w:rPr>
        <w:t xml:space="preserve">Предварительное информирование </w:t>
      </w:r>
      <w:r w:rsidRPr="000146F1">
        <w:rPr>
          <w:b/>
          <w:bCs/>
          <w:color w:val="000000" w:themeColor="text1"/>
        </w:rPr>
        <w:t>юридических и физических лиц,</w:t>
      </w:r>
    </w:p>
    <w:p w14:paraId="004403E3" w14:textId="77777777" w:rsidR="00B07425" w:rsidRDefault="00B07425" w:rsidP="00B07425">
      <w:pPr>
        <w:jc w:val="center"/>
        <w:rPr>
          <w:b/>
          <w:bCs/>
          <w:color w:val="000000" w:themeColor="text1"/>
        </w:rPr>
      </w:pPr>
      <w:r w:rsidRPr="000146F1">
        <w:rPr>
          <w:b/>
          <w:bCs/>
          <w:color w:val="000000" w:themeColor="text1"/>
        </w:rPr>
        <w:t>в том числе индивидуальных предпринимателей</w:t>
      </w:r>
      <w:r>
        <w:rPr>
          <w:b/>
          <w:bCs/>
          <w:color w:val="000000" w:themeColor="text1"/>
        </w:rPr>
        <w:t xml:space="preserve">, </w:t>
      </w:r>
      <w:r w:rsidRPr="00B16139">
        <w:rPr>
          <w:b/>
          <w:bCs/>
          <w:color w:val="000000" w:themeColor="text1"/>
        </w:rPr>
        <w:t>о</w:t>
      </w:r>
      <w:r>
        <w:rPr>
          <w:b/>
          <w:bCs/>
          <w:color w:val="000000" w:themeColor="text1"/>
        </w:rPr>
        <w:t xml:space="preserve"> </w:t>
      </w:r>
      <w:r w:rsidRPr="00B16139">
        <w:rPr>
          <w:b/>
          <w:bCs/>
          <w:color w:val="000000" w:themeColor="text1"/>
        </w:rPr>
        <w:t>проведении общественных обсуждени</w:t>
      </w:r>
      <w:r>
        <w:rPr>
          <w:b/>
          <w:bCs/>
          <w:color w:val="000000" w:themeColor="text1"/>
        </w:rPr>
        <w:t>й</w:t>
      </w:r>
    </w:p>
    <w:p w14:paraId="4C55D383" w14:textId="77777777" w:rsidR="00B07425" w:rsidRDefault="00B07425" w:rsidP="00B07425">
      <w:pPr>
        <w:jc w:val="center"/>
        <w:rPr>
          <w:b/>
          <w:bCs/>
          <w:color w:val="000000" w:themeColor="text1"/>
        </w:rPr>
      </w:pPr>
      <w:r w:rsidRPr="00B16139">
        <w:rPr>
          <w:b/>
          <w:bCs/>
          <w:color w:val="000000" w:themeColor="text1"/>
        </w:rPr>
        <w:t>отчета об</w:t>
      </w:r>
      <w:r>
        <w:rPr>
          <w:b/>
          <w:bCs/>
          <w:color w:val="000000" w:themeColor="text1"/>
        </w:rPr>
        <w:t xml:space="preserve"> </w:t>
      </w:r>
      <w:r w:rsidRPr="00B16139">
        <w:rPr>
          <w:b/>
          <w:bCs/>
          <w:color w:val="000000" w:themeColor="text1"/>
        </w:rPr>
        <w:t>оценке воздействия на</w:t>
      </w:r>
      <w:r>
        <w:rPr>
          <w:b/>
          <w:bCs/>
          <w:color w:val="000000" w:themeColor="text1"/>
        </w:rPr>
        <w:t xml:space="preserve"> </w:t>
      </w:r>
      <w:r w:rsidRPr="00B16139">
        <w:rPr>
          <w:b/>
          <w:bCs/>
          <w:color w:val="000000" w:themeColor="text1"/>
        </w:rPr>
        <w:t>окружающую среду (ОВОС) по</w:t>
      </w:r>
      <w:r>
        <w:rPr>
          <w:b/>
          <w:bCs/>
          <w:color w:val="000000" w:themeColor="text1"/>
        </w:rPr>
        <w:t xml:space="preserve"> </w:t>
      </w:r>
      <w:r w:rsidRPr="00B16139">
        <w:rPr>
          <w:b/>
          <w:bCs/>
          <w:color w:val="000000" w:themeColor="text1"/>
        </w:rPr>
        <w:t>объекту</w:t>
      </w:r>
    </w:p>
    <w:p w14:paraId="0A0F01D4" w14:textId="2017A54A" w:rsidR="009733A2" w:rsidRPr="00177298" w:rsidRDefault="005E4ED0" w:rsidP="003D4D56">
      <w:pPr>
        <w:jc w:val="center"/>
        <w:rPr>
          <w:b/>
          <w:bCs/>
          <w:color w:val="000000" w:themeColor="text1"/>
          <w:sz w:val="16"/>
          <w:szCs w:val="16"/>
        </w:rPr>
      </w:pPr>
      <w:bookmarkStart w:id="0" w:name="_Hlk177562345"/>
      <w:r w:rsidRPr="005E4ED0">
        <w:rPr>
          <w:b/>
          <w:bCs/>
          <w:spacing w:val="4"/>
        </w:rPr>
        <w:t>«Добыча торфа для производства топливных брикетов</w:t>
      </w:r>
      <w:r w:rsidR="00810676">
        <w:rPr>
          <w:b/>
          <w:bCs/>
          <w:spacing w:val="4"/>
        </w:rPr>
        <w:t xml:space="preserve"> </w:t>
      </w:r>
      <w:r w:rsidRPr="005E4ED0">
        <w:rPr>
          <w:b/>
          <w:bCs/>
          <w:spacing w:val="4"/>
        </w:rPr>
        <w:t>на торфяном месторождении «</w:t>
      </w:r>
      <w:proofErr w:type="spellStart"/>
      <w:r w:rsidRPr="005E4ED0">
        <w:rPr>
          <w:b/>
          <w:bCs/>
          <w:spacing w:val="4"/>
        </w:rPr>
        <w:t>Гайно-Бродня</w:t>
      </w:r>
      <w:proofErr w:type="spellEnd"/>
      <w:r w:rsidRPr="005E4ED0">
        <w:rPr>
          <w:b/>
          <w:bCs/>
          <w:spacing w:val="4"/>
        </w:rPr>
        <w:t>» в системе каналов В2.1-В10</w:t>
      </w:r>
      <w:r w:rsidR="00810676">
        <w:rPr>
          <w:b/>
          <w:bCs/>
          <w:spacing w:val="4"/>
        </w:rPr>
        <w:t xml:space="preserve"> </w:t>
      </w:r>
      <w:r w:rsidRPr="005E4ED0">
        <w:rPr>
          <w:b/>
          <w:bCs/>
          <w:spacing w:val="4"/>
        </w:rPr>
        <w:t>в Смолевичском районе Минской области»</w:t>
      </w:r>
      <w:bookmarkEnd w:id="0"/>
    </w:p>
    <w:p w14:paraId="5F218546" w14:textId="77777777" w:rsidR="00A70220" w:rsidRPr="003D4D56" w:rsidRDefault="00A70220" w:rsidP="00A70220">
      <w:pPr>
        <w:ind w:firstLine="709"/>
        <w:jc w:val="center"/>
        <w:rPr>
          <w:b/>
          <w:sz w:val="18"/>
          <w:szCs w:val="18"/>
        </w:rPr>
      </w:pPr>
    </w:p>
    <w:p w14:paraId="00CD5B6A" w14:textId="28C9C1EE" w:rsidR="009733A2" w:rsidRDefault="009B3FCF" w:rsidP="00460FDB">
      <w:pPr>
        <w:spacing w:after="80"/>
        <w:ind w:firstLine="709"/>
        <w:jc w:val="center"/>
        <w:rPr>
          <w:b/>
        </w:rPr>
      </w:pPr>
      <w:r>
        <w:rPr>
          <w:b/>
        </w:rPr>
        <w:t>Г</w:t>
      </w:r>
      <w:r w:rsidR="009733A2">
        <w:rPr>
          <w:b/>
        </w:rPr>
        <w:t>рафик работ по проведению ОВОС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4068"/>
      </w:tblGrid>
      <w:tr w:rsidR="003D4D56" w:rsidRPr="00BF0E6E" w14:paraId="56BA48E6" w14:textId="77777777" w:rsidTr="00A06BE0">
        <w:trPr>
          <w:cantSplit/>
          <w:trHeight w:val="396"/>
        </w:trPr>
        <w:tc>
          <w:tcPr>
            <w:tcW w:w="2998" w:type="pct"/>
            <w:vAlign w:val="center"/>
          </w:tcPr>
          <w:p w14:paraId="7016B977" w14:textId="77777777" w:rsidR="003D4D56" w:rsidRPr="00BF0E6E" w:rsidRDefault="003D4D56" w:rsidP="00706431">
            <w:pPr>
              <w:jc w:val="center"/>
              <w:rPr>
                <w:bCs/>
                <w:sz w:val="22"/>
              </w:rPr>
            </w:pPr>
            <w:bookmarkStart w:id="1" w:name="_Hlk97028278"/>
            <w:r w:rsidRPr="00BF0E6E">
              <w:rPr>
                <w:bCs/>
                <w:sz w:val="22"/>
              </w:rPr>
              <w:t xml:space="preserve">Наименование работ </w:t>
            </w:r>
          </w:p>
        </w:tc>
        <w:tc>
          <w:tcPr>
            <w:tcW w:w="2002" w:type="pct"/>
            <w:vAlign w:val="center"/>
          </w:tcPr>
          <w:p w14:paraId="32D5FF92" w14:textId="77777777" w:rsidR="003D4D56" w:rsidRPr="00BF0E6E" w:rsidRDefault="003D4D56" w:rsidP="00706431">
            <w:pPr>
              <w:jc w:val="center"/>
              <w:rPr>
                <w:bCs/>
                <w:sz w:val="22"/>
              </w:rPr>
            </w:pPr>
            <w:r w:rsidRPr="00BF0E6E">
              <w:rPr>
                <w:bCs/>
                <w:sz w:val="22"/>
              </w:rPr>
              <w:t>Сроки выполнения</w:t>
            </w:r>
          </w:p>
        </w:tc>
      </w:tr>
      <w:tr w:rsidR="00E41C41" w:rsidRPr="00BF0E6E" w14:paraId="72242038" w14:textId="77777777" w:rsidTr="00A06BE0">
        <w:trPr>
          <w:cantSplit/>
          <w:trHeight w:val="396"/>
        </w:trPr>
        <w:tc>
          <w:tcPr>
            <w:tcW w:w="2998" w:type="pct"/>
          </w:tcPr>
          <w:p w14:paraId="438B769F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Подготовка программы проведения ОВОС</w:t>
            </w:r>
          </w:p>
        </w:tc>
        <w:tc>
          <w:tcPr>
            <w:tcW w:w="2002" w:type="pct"/>
          </w:tcPr>
          <w:p w14:paraId="58528E26" w14:textId="11BA3496" w:rsidR="00E41C41" w:rsidRPr="000F0ED6" w:rsidRDefault="00E41C41" w:rsidP="00E41C41">
            <w:pPr>
              <w:jc w:val="center"/>
            </w:pPr>
            <w:r w:rsidRPr="0055168F">
              <w:t xml:space="preserve">с </w:t>
            </w:r>
            <w:r>
              <w:t>22</w:t>
            </w:r>
            <w:r w:rsidRPr="0055168F">
              <w:t>.0</w:t>
            </w:r>
            <w:r>
              <w:t>8</w:t>
            </w:r>
            <w:r w:rsidRPr="0055168F">
              <w:t>.202</w:t>
            </w:r>
            <w:r>
              <w:t>4</w:t>
            </w:r>
            <w:r w:rsidRPr="0055168F">
              <w:t xml:space="preserve"> по </w:t>
            </w:r>
            <w:r>
              <w:t>27</w:t>
            </w:r>
            <w:r w:rsidRPr="0055168F">
              <w:t>.0</w:t>
            </w:r>
            <w:r>
              <w:t>9</w:t>
            </w:r>
            <w:r w:rsidRPr="0055168F">
              <w:t>.202</w:t>
            </w:r>
            <w:r>
              <w:t>4</w:t>
            </w:r>
            <w:r w:rsidRPr="0055168F">
              <w:t xml:space="preserve"> г.</w:t>
            </w:r>
          </w:p>
        </w:tc>
      </w:tr>
      <w:tr w:rsidR="00E41C41" w:rsidRPr="00BF0E6E" w14:paraId="0382B7EB" w14:textId="77777777" w:rsidTr="00A06BE0">
        <w:trPr>
          <w:cantSplit/>
          <w:trHeight w:val="943"/>
        </w:trPr>
        <w:tc>
          <w:tcPr>
            <w:tcW w:w="2998" w:type="pct"/>
          </w:tcPr>
          <w:p w14:paraId="6EF4EB11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2002" w:type="pct"/>
            <w:vAlign w:val="center"/>
          </w:tcPr>
          <w:p w14:paraId="44EAEC94" w14:textId="60AB43D7" w:rsidR="00E41C41" w:rsidRPr="000F0ED6" w:rsidRDefault="00E41C41" w:rsidP="00E41C41">
            <w:pPr>
              <w:jc w:val="center"/>
            </w:pPr>
            <w:r w:rsidRPr="00F62982">
              <w:t xml:space="preserve">с </w:t>
            </w:r>
            <w:r>
              <w:t>04</w:t>
            </w:r>
            <w:r w:rsidRPr="00F62982">
              <w:t>.</w:t>
            </w:r>
            <w:r>
              <w:t>10</w:t>
            </w:r>
            <w:r w:rsidRPr="00F62982">
              <w:t xml:space="preserve">.2024 по </w:t>
            </w:r>
            <w:r>
              <w:t>25</w:t>
            </w:r>
            <w:r w:rsidRPr="00F62982">
              <w:t>.</w:t>
            </w:r>
            <w:r>
              <w:t>10</w:t>
            </w:r>
            <w:r w:rsidRPr="00F62982">
              <w:t>.2024</w:t>
            </w:r>
            <w:r w:rsidRPr="00F62982">
              <w:rPr>
                <w:vertAlign w:val="superscript"/>
              </w:rPr>
              <w:t xml:space="preserve"> *1</w:t>
            </w:r>
          </w:p>
        </w:tc>
      </w:tr>
      <w:tr w:rsidR="00E41C41" w:rsidRPr="00BF0E6E" w14:paraId="0ACC4600" w14:textId="77777777" w:rsidTr="00A06BE0">
        <w:trPr>
          <w:cantSplit/>
          <w:trHeight w:val="671"/>
        </w:trPr>
        <w:tc>
          <w:tcPr>
            <w:tcW w:w="2998" w:type="pct"/>
          </w:tcPr>
          <w:p w14:paraId="48D67728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Подготовка уведомления о планируемой хозяйственной и иной деятельности *</w:t>
            </w:r>
          </w:p>
        </w:tc>
        <w:tc>
          <w:tcPr>
            <w:tcW w:w="2002" w:type="pct"/>
            <w:vAlign w:val="center"/>
          </w:tcPr>
          <w:p w14:paraId="66A609A1" w14:textId="03339D61" w:rsidR="00E41C41" w:rsidRPr="000F0ED6" w:rsidRDefault="00E41C41" w:rsidP="00E41C41">
            <w:pPr>
              <w:jc w:val="center"/>
            </w:pPr>
            <w:r w:rsidRPr="00D03344">
              <w:t xml:space="preserve">не требуется </w:t>
            </w:r>
            <w:r w:rsidRPr="00D03344">
              <w:rPr>
                <w:vertAlign w:val="superscript"/>
              </w:rPr>
              <w:t>*2</w:t>
            </w:r>
          </w:p>
        </w:tc>
      </w:tr>
      <w:tr w:rsidR="00E41C41" w:rsidRPr="00BF0E6E" w14:paraId="6567FA49" w14:textId="77777777" w:rsidTr="00A06BE0">
        <w:trPr>
          <w:cantSplit/>
          <w:trHeight w:val="866"/>
        </w:trPr>
        <w:tc>
          <w:tcPr>
            <w:tcW w:w="2998" w:type="pct"/>
          </w:tcPr>
          <w:p w14:paraId="59A61FAD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Направление уведомления о планируемой хозяйственной и иной деятельности и программы проведения ОВОС затрагиваемым сторонам*</w:t>
            </w:r>
          </w:p>
        </w:tc>
        <w:tc>
          <w:tcPr>
            <w:tcW w:w="2002" w:type="pct"/>
            <w:vAlign w:val="center"/>
          </w:tcPr>
          <w:p w14:paraId="551A1A18" w14:textId="3FB7D6EA" w:rsidR="00E41C41" w:rsidRPr="000F0ED6" w:rsidRDefault="00E41C41" w:rsidP="00E41C41">
            <w:pPr>
              <w:jc w:val="center"/>
            </w:pPr>
            <w:r w:rsidRPr="00D03344">
              <w:t xml:space="preserve">не требуется </w:t>
            </w:r>
            <w:r w:rsidRPr="00D03344">
              <w:rPr>
                <w:vertAlign w:val="superscript"/>
              </w:rPr>
              <w:t>*2</w:t>
            </w:r>
          </w:p>
        </w:tc>
      </w:tr>
      <w:tr w:rsidR="00E41C41" w:rsidRPr="00BF0E6E" w14:paraId="4E144532" w14:textId="77777777" w:rsidTr="00A06BE0">
        <w:trPr>
          <w:cantSplit/>
          <w:trHeight w:val="396"/>
        </w:trPr>
        <w:tc>
          <w:tcPr>
            <w:tcW w:w="2998" w:type="pct"/>
          </w:tcPr>
          <w:p w14:paraId="60F9AE1D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Подготовка отчета об ОВОС</w:t>
            </w:r>
          </w:p>
        </w:tc>
        <w:tc>
          <w:tcPr>
            <w:tcW w:w="2002" w:type="pct"/>
          </w:tcPr>
          <w:p w14:paraId="65998871" w14:textId="02DA1C2E" w:rsidR="00E41C41" w:rsidRPr="000F0ED6" w:rsidRDefault="00E41C41" w:rsidP="00E41C41">
            <w:pPr>
              <w:jc w:val="center"/>
            </w:pPr>
            <w:r w:rsidRPr="00D03344">
              <w:t>с 2</w:t>
            </w:r>
            <w:r>
              <w:t>2</w:t>
            </w:r>
            <w:r w:rsidRPr="00D03344">
              <w:t>.0</w:t>
            </w:r>
            <w:r>
              <w:t>8</w:t>
            </w:r>
            <w:r w:rsidRPr="00D03344">
              <w:t>.202</w:t>
            </w:r>
            <w:r>
              <w:t>4</w:t>
            </w:r>
            <w:r w:rsidRPr="00D03344">
              <w:t xml:space="preserve"> по </w:t>
            </w:r>
            <w:r>
              <w:t>15</w:t>
            </w:r>
            <w:r w:rsidRPr="00D03344">
              <w:t>.</w:t>
            </w:r>
            <w:r>
              <w:t>10</w:t>
            </w:r>
            <w:r w:rsidRPr="00D03344">
              <w:t>.202</w:t>
            </w:r>
            <w:r>
              <w:t>4</w:t>
            </w:r>
            <w:r w:rsidRPr="00D03344">
              <w:t xml:space="preserve"> г. </w:t>
            </w:r>
            <w:r w:rsidRPr="00D03344">
              <w:rPr>
                <w:vertAlign w:val="superscript"/>
              </w:rPr>
              <w:t>*1</w:t>
            </w:r>
          </w:p>
        </w:tc>
      </w:tr>
      <w:tr w:rsidR="00E41C41" w:rsidRPr="00BF0E6E" w14:paraId="1C793701" w14:textId="77777777" w:rsidTr="00A06BE0">
        <w:trPr>
          <w:cantSplit/>
          <w:trHeight w:val="396"/>
        </w:trPr>
        <w:tc>
          <w:tcPr>
            <w:tcW w:w="2998" w:type="pct"/>
          </w:tcPr>
          <w:p w14:paraId="7AAF6973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Направление отчета об ОВОС затрагиваемым сторонам*</w:t>
            </w:r>
          </w:p>
        </w:tc>
        <w:tc>
          <w:tcPr>
            <w:tcW w:w="2002" w:type="pct"/>
          </w:tcPr>
          <w:p w14:paraId="366D5C43" w14:textId="01FEB37F" w:rsidR="00E41C41" w:rsidRPr="000F0ED6" w:rsidRDefault="00E41C41" w:rsidP="00E41C41">
            <w:pPr>
              <w:jc w:val="center"/>
            </w:pPr>
            <w:r w:rsidRPr="00D03344">
              <w:t xml:space="preserve">– </w:t>
            </w:r>
            <w:r w:rsidRPr="00D03344">
              <w:rPr>
                <w:vertAlign w:val="superscript"/>
              </w:rPr>
              <w:t>*2</w:t>
            </w:r>
          </w:p>
        </w:tc>
      </w:tr>
      <w:tr w:rsidR="00E41C41" w:rsidRPr="009F2E4E" w14:paraId="16AFD463" w14:textId="77777777" w:rsidTr="00A06BE0">
        <w:trPr>
          <w:cantSplit/>
          <w:trHeight w:val="872"/>
        </w:trPr>
        <w:tc>
          <w:tcPr>
            <w:tcW w:w="2998" w:type="pct"/>
            <w:shd w:val="clear" w:color="auto" w:fill="auto"/>
          </w:tcPr>
          <w:p w14:paraId="713FF1D5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Проведение общественных обсуждений на территории:</w:t>
            </w:r>
          </w:p>
          <w:p w14:paraId="3D2D7BBB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– Республики Беларусь;</w:t>
            </w:r>
          </w:p>
          <w:p w14:paraId="14F07872" w14:textId="77777777" w:rsidR="00E41C41" w:rsidRPr="00A06BE0" w:rsidRDefault="00E41C41" w:rsidP="00E41C41">
            <w:pPr>
              <w:pStyle w:val="1"/>
              <w:jc w:val="both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– затрагиваемых сторон*</w:t>
            </w:r>
          </w:p>
        </w:tc>
        <w:tc>
          <w:tcPr>
            <w:tcW w:w="2002" w:type="pct"/>
            <w:shd w:val="clear" w:color="auto" w:fill="auto"/>
          </w:tcPr>
          <w:p w14:paraId="51247288" w14:textId="77777777" w:rsidR="00E41C41" w:rsidRPr="00D03344" w:rsidRDefault="00E41C41" w:rsidP="00E41C41">
            <w:pPr>
              <w:jc w:val="center"/>
            </w:pPr>
          </w:p>
          <w:p w14:paraId="7E4A9E6C" w14:textId="77777777" w:rsidR="00E41C41" w:rsidRPr="00D03344" w:rsidRDefault="00E41C41" w:rsidP="00E41C41">
            <w:pPr>
              <w:ind w:left="-83" w:right="-91"/>
              <w:jc w:val="center"/>
            </w:pPr>
            <w:r w:rsidRPr="00D03344">
              <w:t xml:space="preserve">с </w:t>
            </w:r>
            <w:r>
              <w:t>октября</w:t>
            </w:r>
            <w:r w:rsidRPr="00D03344">
              <w:t xml:space="preserve"> по </w:t>
            </w:r>
            <w:r>
              <w:t>ноябрь</w:t>
            </w:r>
            <w:r w:rsidRPr="00D03344">
              <w:t xml:space="preserve"> 202</w:t>
            </w:r>
            <w:r>
              <w:t>4</w:t>
            </w:r>
            <w:r w:rsidRPr="00D03344">
              <w:t xml:space="preserve"> г. </w:t>
            </w:r>
            <w:r w:rsidRPr="00D03344">
              <w:rPr>
                <w:vertAlign w:val="superscript"/>
              </w:rPr>
              <w:t>*1</w:t>
            </w:r>
          </w:p>
          <w:p w14:paraId="4CC7590B" w14:textId="0FAC9F55" w:rsidR="00E41C41" w:rsidRPr="000F0ED6" w:rsidRDefault="00E41C41" w:rsidP="00E41C41">
            <w:pPr>
              <w:jc w:val="center"/>
            </w:pPr>
            <w:r w:rsidRPr="00D03344">
              <w:t xml:space="preserve">не требуется </w:t>
            </w:r>
            <w:r w:rsidRPr="00D03344">
              <w:rPr>
                <w:vertAlign w:val="superscript"/>
              </w:rPr>
              <w:t>*2</w:t>
            </w:r>
          </w:p>
        </w:tc>
      </w:tr>
      <w:tr w:rsidR="00E41C41" w:rsidRPr="00BF0E6E" w14:paraId="067BB2A4" w14:textId="77777777" w:rsidTr="00A06BE0">
        <w:trPr>
          <w:cantSplit/>
          <w:trHeight w:val="396"/>
        </w:trPr>
        <w:tc>
          <w:tcPr>
            <w:tcW w:w="2998" w:type="pct"/>
          </w:tcPr>
          <w:p w14:paraId="7273A830" w14:textId="77777777" w:rsidR="00E41C41" w:rsidRPr="00A06BE0" w:rsidRDefault="00E41C41" w:rsidP="00E41C41">
            <w:pPr>
              <w:pStyle w:val="caaieiaie7"/>
              <w:keepNext w:val="0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Проведение консультации по замечаниям затрагиваемых сторон*</w:t>
            </w:r>
          </w:p>
        </w:tc>
        <w:tc>
          <w:tcPr>
            <w:tcW w:w="2002" w:type="pct"/>
            <w:vAlign w:val="center"/>
          </w:tcPr>
          <w:p w14:paraId="5A082B8D" w14:textId="198B0B41" w:rsidR="00E41C41" w:rsidRPr="000F0ED6" w:rsidRDefault="00E41C41" w:rsidP="00E41C41">
            <w:pPr>
              <w:jc w:val="center"/>
            </w:pPr>
            <w:r w:rsidRPr="00D03344">
              <w:t xml:space="preserve">не требуется </w:t>
            </w:r>
            <w:r w:rsidRPr="00D03344">
              <w:rPr>
                <w:vertAlign w:val="superscript"/>
              </w:rPr>
              <w:t>*2</w:t>
            </w:r>
          </w:p>
        </w:tc>
      </w:tr>
      <w:tr w:rsidR="00E41C41" w:rsidRPr="00BF0E6E" w14:paraId="6E4D76CA" w14:textId="77777777" w:rsidTr="00A06BE0">
        <w:trPr>
          <w:cantSplit/>
          <w:trHeight w:val="396"/>
        </w:trPr>
        <w:tc>
          <w:tcPr>
            <w:tcW w:w="2998" w:type="pct"/>
          </w:tcPr>
          <w:p w14:paraId="5280FF11" w14:textId="77777777" w:rsidR="00E41C41" w:rsidRPr="00A06BE0" w:rsidRDefault="00E41C41" w:rsidP="00E41C41">
            <w:pPr>
              <w:pStyle w:val="caaieiaie7"/>
              <w:keepNext w:val="0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Проведение собрания по обсуждению отчета об ОВОС</w:t>
            </w:r>
          </w:p>
        </w:tc>
        <w:tc>
          <w:tcPr>
            <w:tcW w:w="2002" w:type="pct"/>
          </w:tcPr>
          <w:p w14:paraId="309B7BCA" w14:textId="77777777" w:rsidR="00E41C41" w:rsidRPr="00D03344" w:rsidRDefault="00E41C41" w:rsidP="00E41C41">
            <w:pPr>
              <w:jc w:val="center"/>
            </w:pPr>
            <w:r>
              <w:t>ноябрь</w:t>
            </w:r>
            <w:r w:rsidRPr="00D03344">
              <w:t xml:space="preserve"> 202</w:t>
            </w:r>
            <w:r>
              <w:t>4</w:t>
            </w:r>
            <w:r w:rsidRPr="00D03344">
              <w:t xml:space="preserve"> г.</w:t>
            </w:r>
            <w:r w:rsidRPr="00D03344">
              <w:rPr>
                <w:vertAlign w:val="superscript"/>
              </w:rPr>
              <w:t xml:space="preserve"> *3</w:t>
            </w:r>
          </w:p>
          <w:p w14:paraId="7BEA806B" w14:textId="57E8B87E" w:rsidR="00E41C41" w:rsidRPr="000F0ED6" w:rsidRDefault="00E41C41" w:rsidP="00E41C41">
            <w:pPr>
              <w:jc w:val="center"/>
            </w:pPr>
            <w:r w:rsidRPr="00D03344">
              <w:rPr>
                <w:sz w:val="20"/>
                <w:szCs w:val="20"/>
              </w:rPr>
              <w:t>(собрание может быть назначено 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E41C41" w:rsidRPr="00BF0E6E" w14:paraId="38FD9942" w14:textId="77777777" w:rsidTr="00A06BE0">
        <w:trPr>
          <w:cantSplit/>
          <w:trHeight w:val="396"/>
        </w:trPr>
        <w:tc>
          <w:tcPr>
            <w:tcW w:w="2998" w:type="pct"/>
          </w:tcPr>
          <w:p w14:paraId="2CD30F35" w14:textId="77777777" w:rsidR="00E41C41" w:rsidRPr="00A06BE0" w:rsidRDefault="00E41C41" w:rsidP="00E41C41">
            <w:pPr>
              <w:pStyle w:val="caaieiaie7"/>
              <w:keepNext w:val="0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Доработка отчета об ОВОС по замечаниям</w:t>
            </w:r>
          </w:p>
        </w:tc>
        <w:tc>
          <w:tcPr>
            <w:tcW w:w="2002" w:type="pct"/>
          </w:tcPr>
          <w:p w14:paraId="37FB266B" w14:textId="49A19856" w:rsidR="00E41C41" w:rsidRPr="000F0ED6" w:rsidRDefault="00E41C41" w:rsidP="00E41C41">
            <w:pPr>
              <w:jc w:val="center"/>
            </w:pPr>
            <w:r>
              <w:t>с ноября по декабрь</w:t>
            </w:r>
            <w:r w:rsidRPr="00D03344">
              <w:t xml:space="preserve"> 202</w:t>
            </w:r>
            <w:r>
              <w:t>4</w:t>
            </w:r>
            <w:r w:rsidRPr="00D03344">
              <w:t xml:space="preserve"> г.</w:t>
            </w:r>
            <w:r w:rsidRPr="00D03344">
              <w:rPr>
                <w:vertAlign w:val="superscript"/>
              </w:rPr>
              <w:t xml:space="preserve"> *4</w:t>
            </w:r>
          </w:p>
        </w:tc>
      </w:tr>
      <w:tr w:rsidR="00E41C41" w:rsidRPr="00BF0E6E" w14:paraId="4AE3CFB0" w14:textId="77777777" w:rsidTr="00A06BE0">
        <w:trPr>
          <w:cantSplit/>
          <w:trHeight w:val="925"/>
        </w:trPr>
        <w:tc>
          <w:tcPr>
            <w:tcW w:w="2998" w:type="pct"/>
          </w:tcPr>
          <w:p w14:paraId="73ED5044" w14:textId="77777777" w:rsidR="00E41C41" w:rsidRPr="00A06BE0" w:rsidRDefault="00E41C41" w:rsidP="00E41C41">
            <w:pPr>
              <w:pStyle w:val="caaieiaie7"/>
              <w:keepNext w:val="0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2002" w:type="pct"/>
          </w:tcPr>
          <w:p w14:paraId="722D31FE" w14:textId="49C9A139" w:rsidR="00E41C41" w:rsidRPr="000F0ED6" w:rsidRDefault="00E41C41" w:rsidP="00E41C41">
            <w:pPr>
              <w:jc w:val="center"/>
            </w:pPr>
            <w:r w:rsidRPr="00D03344">
              <w:t xml:space="preserve">с </w:t>
            </w:r>
            <w:r>
              <w:t>декабря 2024 г.</w:t>
            </w:r>
            <w:r w:rsidRPr="00D03344">
              <w:t xml:space="preserve"> по </w:t>
            </w:r>
            <w:r>
              <w:t>январь</w:t>
            </w:r>
            <w:r w:rsidRPr="00D03344">
              <w:t xml:space="preserve"> 202</w:t>
            </w:r>
            <w:r>
              <w:t>5</w:t>
            </w:r>
            <w:r w:rsidRPr="00D03344">
              <w:rPr>
                <w:vertAlign w:val="superscript"/>
              </w:rPr>
              <w:t xml:space="preserve"> *1</w:t>
            </w:r>
          </w:p>
        </w:tc>
      </w:tr>
      <w:tr w:rsidR="00E41C41" w:rsidRPr="00BF0E6E" w14:paraId="24A2A391" w14:textId="77777777" w:rsidTr="00A06BE0">
        <w:trPr>
          <w:cantSplit/>
          <w:trHeight w:val="396"/>
        </w:trPr>
        <w:tc>
          <w:tcPr>
            <w:tcW w:w="2998" w:type="pct"/>
          </w:tcPr>
          <w:p w14:paraId="20A37ADE" w14:textId="77777777" w:rsidR="00E41C41" w:rsidRPr="00A06BE0" w:rsidRDefault="00E41C41" w:rsidP="00E41C41">
            <w:pPr>
              <w:pStyle w:val="caaieiaie7"/>
              <w:keepNext w:val="0"/>
              <w:rPr>
                <w:sz w:val="23"/>
                <w:szCs w:val="23"/>
              </w:rPr>
            </w:pPr>
            <w:r w:rsidRPr="00A06BE0">
              <w:rPr>
                <w:sz w:val="23"/>
                <w:szCs w:val="23"/>
              </w:rPr>
              <w:t>Принятие решения в отношении планируемой деятельности</w:t>
            </w:r>
          </w:p>
        </w:tc>
        <w:tc>
          <w:tcPr>
            <w:tcW w:w="2002" w:type="pct"/>
          </w:tcPr>
          <w:p w14:paraId="3AAD47A7" w14:textId="0B38CF06" w:rsidR="00E41C41" w:rsidRPr="000F0ED6" w:rsidRDefault="00E41C41" w:rsidP="00E41C41">
            <w:pPr>
              <w:jc w:val="center"/>
            </w:pPr>
            <w:r>
              <w:t xml:space="preserve">с </w:t>
            </w:r>
            <w:r w:rsidRPr="00D03344">
              <w:t>янва</w:t>
            </w:r>
            <w:r>
              <w:t>ря по февраль</w:t>
            </w:r>
            <w:r w:rsidRPr="00D03344">
              <w:t xml:space="preserve"> 202</w:t>
            </w:r>
            <w:r>
              <w:t>5</w:t>
            </w:r>
            <w:r w:rsidRPr="00D03344">
              <w:t xml:space="preserve"> г.</w:t>
            </w:r>
            <w:r w:rsidRPr="00D03344">
              <w:rPr>
                <w:vertAlign w:val="superscript"/>
              </w:rPr>
              <w:t xml:space="preserve"> *1</w:t>
            </w:r>
          </w:p>
        </w:tc>
      </w:tr>
      <w:bookmarkEnd w:id="1"/>
    </w:tbl>
    <w:p w14:paraId="0E69B99C" w14:textId="77777777" w:rsidR="003D4D56" w:rsidRDefault="003D4D56" w:rsidP="003D4D56">
      <w:pPr>
        <w:jc w:val="both"/>
        <w:rPr>
          <w:sz w:val="8"/>
          <w:szCs w:val="8"/>
        </w:rPr>
      </w:pPr>
    </w:p>
    <w:p w14:paraId="0902578A" w14:textId="77777777" w:rsidR="003D4D56" w:rsidRPr="006F56AB" w:rsidRDefault="003D4D56" w:rsidP="003D4D56">
      <w:pPr>
        <w:rPr>
          <w:sz w:val="22"/>
          <w:szCs w:val="22"/>
        </w:rPr>
      </w:pPr>
      <w:bookmarkStart w:id="2" w:name="_Hlk97028286"/>
      <w:r w:rsidRPr="006F56AB">
        <w:rPr>
          <w:sz w:val="22"/>
          <w:szCs w:val="22"/>
        </w:rPr>
        <w:t>*</w:t>
      </w:r>
      <w:r>
        <w:rPr>
          <w:sz w:val="22"/>
          <w:szCs w:val="22"/>
        </w:rPr>
        <w:t>1</w:t>
      </w:r>
      <w:r w:rsidRPr="006F56AB">
        <w:rPr>
          <w:sz w:val="22"/>
          <w:szCs w:val="22"/>
        </w:rPr>
        <w:t xml:space="preserve"> – срок выполнения работ может быть изменен;</w:t>
      </w:r>
    </w:p>
    <w:p w14:paraId="39E4EFA6" w14:textId="77777777" w:rsidR="003D4D56" w:rsidRPr="006F56AB" w:rsidRDefault="003D4D56" w:rsidP="003D4D56">
      <w:pPr>
        <w:rPr>
          <w:sz w:val="22"/>
          <w:szCs w:val="22"/>
        </w:rPr>
      </w:pPr>
      <w:r w:rsidRPr="006F56AB">
        <w:rPr>
          <w:sz w:val="22"/>
          <w:szCs w:val="22"/>
        </w:rPr>
        <w:t>*</w:t>
      </w:r>
      <w:r>
        <w:rPr>
          <w:sz w:val="22"/>
          <w:szCs w:val="22"/>
        </w:rPr>
        <w:t>2</w:t>
      </w:r>
      <w:r w:rsidRPr="006F56AB">
        <w:rPr>
          <w:sz w:val="22"/>
          <w:szCs w:val="22"/>
        </w:rPr>
        <w:t xml:space="preserve"> – заполняется в случае, если планируемая хозяйственная и иная деятельность может оказывать трансграничное воздействие;</w:t>
      </w:r>
    </w:p>
    <w:p w14:paraId="1ECA74B8" w14:textId="77777777" w:rsidR="003D4D56" w:rsidRPr="006F56AB" w:rsidRDefault="003D4D56" w:rsidP="003D4D56">
      <w:pPr>
        <w:rPr>
          <w:sz w:val="22"/>
          <w:szCs w:val="22"/>
        </w:rPr>
      </w:pPr>
      <w:r w:rsidRPr="006F56AB">
        <w:rPr>
          <w:sz w:val="22"/>
          <w:szCs w:val="22"/>
        </w:rPr>
        <w:t>*3 – будет осуществлено в случае обращения общественности о необходимости проведения собрания</w:t>
      </w:r>
      <w:r>
        <w:rPr>
          <w:sz w:val="22"/>
          <w:szCs w:val="22"/>
        </w:rPr>
        <w:t xml:space="preserve">, </w:t>
      </w:r>
      <w:r w:rsidRPr="006F56AB">
        <w:rPr>
          <w:sz w:val="22"/>
          <w:szCs w:val="22"/>
        </w:rPr>
        <w:t>срок выполнения работ может быть изменен;</w:t>
      </w:r>
    </w:p>
    <w:p w14:paraId="571BDC39" w14:textId="62DC611A" w:rsidR="003D4D56" w:rsidRDefault="003D4D56" w:rsidP="003D4D56">
      <w:pPr>
        <w:rPr>
          <w:sz w:val="22"/>
          <w:szCs w:val="22"/>
        </w:rPr>
      </w:pPr>
      <w:r w:rsidRPr="006F56AB">
        <w:rPr>
          <w:sz w:val="22"/>
          <w:szCs w:val="22"/>
        </w:rPr>
        <w:t xml:space="preserve">*4 </w:t>
      </w:r>
      <w:r w:rsidRPr="006F56AB">
        <w:rPr>
          <w:sz w:val="22"/>
          <w:szCs w:val="22"/>
        </w:rPr>
        <w:noBreakHyphen/>
        <w:t xml:space="preserve"> будет осуществлена в случае необходимости</w:t>
      </w:r>
      <w:bookmarkEnd w:id="2"/>
      <w:r>
        <w:rPr>
          <w:sz w:val="22"/>
          <w:szCs w:val="22"/>
        </w:rPr>
        <w:t xml:space="preserve">, </w:t>
      </w:r>
      <w:r w:rsidRPr="006F56AB">
        <w:rPr>
          <w:sz w:val="22"/>
          <w:szCs w:val="22"/>
        </w:rPr>
        <w:t>срок выполнения работ может быть изменен.</w:t>
      </w:r>
    </w:p>
    <w:p w14:paraId="238490A2" w14:textId="77777777" w:rsidR="003D4D56" w:rsidRDefault="003D4D56" w:rsidP="003D4D56">
      <w:pPr>
        <w:jc w:val="center"/>
        <w:rPr>
          <w:b/>
          <w:bCs/>
        </w:rPr>
      </w:pPr>
    </w:p>
    <w:p w14:paraId="2FABD296" w14:textId="3B861FF3" w:rsidR="00460FDB" w:rsidRPr="00C06E87" w:rsidRDefault="00D669D1" w:rsidP="003D4D56">
      <w:pPr>
        <w:jc w:val="center"/>
        <w:rPr>
          <w:b/>
          <w:bCs/>
        </w:rPr>
      </w:pPr>
      <w:r>
        <w:rPr>
          <w:b/>
          <w:bCs/>
        </w:rPr>
        <w:t>Сведения о</w:t>
      </w:r>
      <w:r w:rsidR="00C15B10" w:rsidRPr="00C06E87">
        <w:rPr>
          <w:b/>
          <w:bCs/>
        </w:rPr>
        <w:t xml:space="preserve"> планируемой деятельности</w:t>
      </w:r>
      <w:r w:rsidR="00460FDB" w:rsidRPr="00C06E87">
        <w:rPr>
          <w:b/>
          <w:bCs/>
        </w:rPr>
        <w:t xml:space="preserve"> </w:t>
      </w:r>
    </w:p>
    <w:p w14:paraId="0117C99F" w14:textId="1AE71F63" w:rsidR="00C15B10" w:rsidRPr="00C06E87" w:rsidRDefault="00460FDB" w:rsidP="00460FDB">
      <w:pPr>
        <w:spacing w:after="80"/>
        <w:jc w:val="center"/>
        <w:rPr>
          <w:b/>
          <w:bCs/>
        </w:rPr>
      </w:pPr>
      <w:r w:rsidRPr="00C06E87">
        <w:rPr>
          <w:b/>
          <w:bCs/>
        </w:rPr>
        <w:t>и альтернативные варианты ее размещения и (или) реализации</w:t>
      </w:r>
    </w:p>
    <w:p w14:paraId="100A86DD" w14:textId="4642E825" w:rsidR="0015131C" w:rsidRDefault="0015131C" w:rsidP="0015131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bookmarkStart w:id="3" w:name="_Hlk151992039"/>
      <w:r w:rsidRPr="00886F90">
        <w:t xml:space="preserve">Заказчиком деятельности является </w:t>
      </w:r>
      <w:r w:rsidR="00D05783">
        <w:rPr>
          <w:rFonts w:ascii="Times New Roman CYR" w:hAnsi="Times New Roman CYR" w:cs="Times New Roman CYR"/>
        </w:rPr>
        <w:t>ОАО</w:t>
      </w:r>
      <w:r w:rsidR="00810676">
        <w:rPr>
          <w:rFonts w:ascii="Times New Roman CYR" w:hAnsi="Times New Roman CYR" w:cs="Times New Roman CYR"/>
        </w:rPr>
        <w:t xml:space="preserve"> «</w:t>
      </w:r>
      <w:r w:rsidR="00D05783">
        <w:rPr>
          <w:rFonts w:ascii="Times New Roman CYR" w:hAnsi="Times New Roman CYR" w:cs="Times New Roman CYR"/>
        </w:rPr>
        <w:t xml:space="preserve">ТБЗ </w:t>
      </w:r>
      <w:proofErr w:type="spellStart"/>
      <w:r w:rsidR="00D05783">
        <w:rPr>
          <w:rFonts w:ascii="Times New Roman CYR" w:hAnsi="Times New Roman CYR" w:cs="Times New Roman CYR"/>
        </w:rPr>
        <w:t>Усяж</w:t>
      </w:r>
      <w:proofErr w:type="spellEnd"/>
      <w:r w:rsidR="00810676">
        <w:rPr>
          <w:rFonts w:ascii="Times New Roman CYR" w:hAnsi="Times New Roman CYR" w:cs="Times New Roman CYR"/>
        </w:rPr>
        <w:t>»</w:t>
      </w:r>
      <w:r w:rsidR="00700158">
        <w:rPr>
          <w:rFonts w:ascii="Times New Roman CYR" w:hAnsi="Times New Roman CYR" w:cs="Times New Roman CYR"/>
        </w:rPr>
        <w:t xml:space="preserve">, расположенное по адресу </w:t>
      </w:r>
      <w:r w:rsidR="00700158" w:rsidRPr="00700158">
        <w:rPr>
          <w:rFonts w:ascii="Times New Roman CYR" w:hAnsi="Times New Roman CYR" w:cs="Times New Roman CYR"/>
        </w:rPr>
        <w:t xml:space="preserve">222212, Минская обл., Смолевичский р-н, п. </w:t>
      </w:r>
      <w:proofErr w:type="spellStart"/>
      <w:r w:rsidR="00700158" w:rsidRPr="00700158">
        <w:rPr>
          <w:rFonts w:ascii="Times New Roman CYR" w:hAnsi="Times New Roman CYR" w:cs="Times New Roman CYR"/>
        </w:rPr>
        <w:t>Усяж</w:t>
      </w:r>
      <w:proofErr w:type="spellEnd"/>
      <w:r w:rsidR="00700158" w:rsidRPr="00700158">
        <w:rPr>
          <w:rFonts w:ascii="Times New Roman CYR" w:hAnsi="Times New Roman CYR" w:cs="Times New Roman CYR"/>
        </w:rPr>
        <w:t>, ул. Промышленная, 16.</w:t>
      </w:r>
    </w:p>
    <w:p w14:paraId="631EF693" w14:textId="77777777" w:rsidR="00280A2A" w:rsidRDefault="00280A2A" w:rsidP="00280A2A">
      <w:pPr>
        <w:pStyle w:val="a3"/>
        <w:spacing w:line="240" w:lineRule="auto"/>
      </w:pPr>
      <w:r>
        <w:t>Планируемая деятельность реализуется с целью обеспечения организации сырьевыми ресурсами и последующего выполнения плановых показателей по добыче фрезерного торфа согласно программе комплексной модернизации торфяных производств на 2021–2025 гг.</w:t>
      </w:r>
    </w:p>
    <w:p w14:paraId="152F6B3E" w14:textId="77777777" w:rsidR="009B0006" w:rsidRDefault="009B0006" w:rsidP="009B0006">
      <w:pPr>
        <w:pStyle w:val="a3"/>
        <w:spacing w:line="240" w:lineRule="auto"/>
        <w:rPr>
          <w:spacing w:val="2"/>
          <w:szCs w:val="24"/>
        </w:rPr>
      </w:pPr>
      <w:r w:rsidRPr="009A7A5D">
        <w:rPr>
          <w:spacing w:val="2"/>
          <w:szCs w:val="24"/>
        </w:rPr>
        <w:t xml:space="preserve">Планируемая деятельность заключается в разработке </w:t>
      </w:r>
      <w:r w:rsidRPr="00906EDB">
        <w:rPr>
          <w:spacing w:val="2"/>
          <w:szCs w:val="24"/>
        </w:rPr>
        <w:t xml:space="preserve">участка </w:t>
      </w:r>
      <w:r>
        <w:rPr>
          <w:spacing w:val="2"/>
          <w:szCs w:val="24"/>
        </w:rPr>
        <w:t>месторождения торфа «</w:t>
      </w:r>
      <w:proofErr w:type="spellStart"/>
      <w:r>
        <w:rPr>
          <w:spacing w:val="2"/>
          <w:szCs w:val="24"/>
        </w:rPr>
        <w:t>Гайно-Бродня</w:t>
      </w:r>
      <w:proofErr w:type="spellEnd"/>
      <w:r>
        <w:rPr>
          <w:spacing w:val="2"/>
          <w:szCs w:val="24"/>
        </w:rPr>
        <w:t xml:space="preserve">» </w:t>
      </w:r>
      <w:r w:rsidRPr="00906EDB">
        <w:rPr>
          <w:spacing w:val="2"/>
          <w:szCs w:val="24"/>
        </w:rPr>
        <w:t>в системе каналов В</w:t>
      </w:r>
      <w:r>
        <w:rPr>
          <w:spacing w:val="2"/>
          <w:szCs w:val="24"/>
        </w:rPr>
        <w:t>2.1</w:t>
      </w:r>
      <w:r w:rsidRPr="00906EDB">
        <w:rPr>
          <w:spacing w:val="2"/>
          <w:szCs w:val="24"/>
        </w:rPr>
        <w:t>–</w:t>
      </w:r>
      <w:r>
        <w:rPr>
          <w:spacing w:val="2"/>
          <w:szCs w:val="24"/>
        </w:rPr>
        <w:t xml:space="preserve">В10. </w:t>
      </w:r>
      <w:r>
        <w:t>Площадь участка в границах проекта составляет</w:t>
      </w:r>
      <w:r>
        <w:rPr>
          <w:spacing w:val="2"/>
          <w:szCs w:val="24"/>
        </w:rPr>
        <w:t xml:space="preserve"> </w:t>
      </w:r>
      <w:r w:rsidRPr="0041075B">
        <w:rPr>
          <w:spacing w:val="2"/>
          <w:szCs w:val="24"/>
        </w:rPr>
        <w:t>265,</w:t>
      </w:r>
      <w:r>
        <w:rPr>
          <w:spacing w:val="2"/>
          <w:szCs w:val="24"/>
        </w:rPr>
        <w:t xml:space="preserve">6 га. </w:t>
      </w:r>
      <w:r w:rsidRPr="009A7A5D">
        <w:rPr>
          <w:spacing w:val="2"/>
          <w:szCs w:val="24"/>
        </w:rPr>
        <w:t xml:space="preserve">По кадастровому справочнику торфяного фонда издания 1979 г. месторождение торфа </w:t>
      </w:r>
      <w:r w:rsidRPr="009A7A5D">
        <w:rPr>
          <w:spacing w:val="2"/>
          <w:szCs w:val="24"/>
        </w:rPr>
        <w:lastRenderedPageBreak/>
        <w:t xml:space="preserve">числится под номером </w:t>
      </w:r>
      <w:r>
        <w:rPr>
          <w:spacing w:val="2"/>
          <w:szCs w:val="24"/>
        </w:rPr>
        <w:t>243</w:t>
      </w:r>
      <w:r w:rsidRPr="009A7A5D">
        <w:rPr>
          <w:spacing w:val="2"/>
          <w:szCs w:val="24"/>
        </w:rPr>
        <w:t xml:space="preserve"> по </w:t>
      </w:r>
      <w:r>
        <w:rPr>
          <w:spacing w:val="2"/>
          <w:szCs w:val="24"/>
        </w:rPr>
        <w:t>Минской</w:t>
      </w:r>
      <w:r w:rsidRPr="009A7A5D">
        <w:rPr>
          <w:spacing w:val="2"/>
          <w:szCs w:val="24"/>
        </w:rPr>
        <w:t xml:space="preserve"> области. </w:t>
      </w:r>
    </w:p>
    <w:p w14:paraId="5731E1A5" w14:textId="77777777" w:rsidR="009B0006" w:rsidRDefault="009B0006" w:rsidP="009B0006">
      <w:pPr>
        <w:pStyle w:val="a3"/>
        <w:spacing w:line="240" w:lineRule="auto"/>
      </w:pPr>
      <w:r w:rsidRPr="005863D3">
        <w:t xml:space="preserve">Проектными решениями предусматривается строительство полей добычи торфа, </w:t>
      </w:r>
      <w:r>
        <w:t>а также устройство сооружений, обеспечивающих добычу торфа в соответствие с технологическим регламентом добычи фрезерного торфа и действующими «Правилами технической эксплуатации торфопредприятий».</w:t>
      </w:r>
    </w:p>
    <w:p w14:paraId="3845491D" w14:textId="2FAA52A8" w:rsidR="009B0006" w:rsidRDefault="009B0006" w:rsidP="009B0006">
      <w:pPr>
        <w:pStyle w:val="a3"/>
        <w:spacing w:line="240" w:lineRule="auto"/>
      </w:pPr>
      <w:r>
        <w:rPr>
          <w:spacing w:val="-2"/>
        </w:rPr>
        <w:t xml:space="preserve">Добыча полезного ископаемого – торфа – будет осуществляться открытым послойно-поверхностным (фрезерным) способом, который применяется на существующих </w:t>
      </w:r>
      <w:proofErr w:type="spellStart"/>
      <w:r>
        <w:rPr>
          <w:spacing w:val="-2"/>
        </w:rPr>
        <w:t>торфополях</w:t>
      </w:r>
      <w:proofErr w:type="spellEnd"/>
      <w:r>
        <w:rPr>
          <w:spacing w:val="-2"/>
        </w:rPr>
        <w:t>.</w:t>
      </w:r>
    </w:p>
    <w:p w14:paraId="55AE6053" w14:textId="2221FFE4" w:rsidR="00DB3671" w:rsidRDefault="00DB3671" w:rsidP="00280A2A">
      <w:pPr>
        <w:pStyle w:val="a3"/>
        <w:spacing w:line="240" w:lineRule="auto"/>
      </w:pPr>
      <w:r w:rsidRPr="002E23C5">
        <w:t xml:space="preserve">В качестве альтернативного варианта проектных решений предложена «нулевая» альтернатива – отказ от реализации планируемой хозяйственной деятельности. </w:t>
      </w:r>
      <w:r w:rsidRPr="002E23C5">
        <w:rPr>
          <w:lang w:val="be-BY"/>
        </w:rPr>
        <w:t>Данный</w:t>
      </w:r>
      <w:r w:rsidRPr="002E23C5">
        <w:t xml:space="preserve"> вариант позволит сохранить природную среду в современном </w:t>
      </w:r>
      <w:r w:rsidRPr="008F0675">
        <w:t xml:space="preserve">состоянии. </w:t>
      </w:r>
      <w:r>
        <w:t>Однако н</w:t>
      </w:r>
      <w:r w:rsidRPr="008F0675">
        <w:t xml:space="preserve">а фоне дефицита сырьевых ресурсов данный вариант не позволит выполнить доведенные производственные показатели, что в свою очередь отразится на экономическом </w:t>
      </w:r>
      <w:r>
        <w:t xml:space="preserve">состоянии </w:t>
      </w:r>
      <w:r>
        <w:rPr>
          <w:spacing w:val="2"/>
        </w:rPr>
        <w:t xml:space="preserve">ОАО «ТБЗ </w:t>
      </w:r>
      <w:proofErr w:type="spellStart"/>
      <w:r>
        <w:rPr>
          <w:spacing w:val="2"/>
        </w:rPr>
        <w:t>Усяж</w:t>
      </w:r>
      <w:proofErr w:type="spellEnd"/>
      <w:r>
        <w:rPr>
          <w:spacing w:val="2"/>
        </w:rPr>
        <w:t>»</w:t>
      </w:r>
      <w:r w:rsidRPr="008F0675">
        <w:rPr>
          <w:rFonts w:eastAsiaTheme="minorHAnsi"/>
          <w:spacing w:val="-2"/>
          <w:szCs w:val="24"/>
          <w:lang w:eastAsia="en-US"/>
        </w:rPr>
        <w:t xml:space="preserve"> и в целом на </w:t>
      </w:r>
      <w:r w:rsidRPr="008F0675">
        <w:t>социально-экономической ситуации в регионе. В связи с этим «нулевая» альтернатива не</w:t>
      </w:r>
      <w:r>
        <w:t> </w:t>
      </w:r>
      <w:r w:rsidRPr="008F0675">
        <w:t>является приоритетной.</w:t>
      </w:r>
    </w:p>
    <w:p w14:paraId="293EAC67" w14:textId="194C04E3" w:rsidR="00DB3671" w:rsidRDefault="00DB3671" w:rsidP="00280A2A">
      <w:pPr>
        <w:pStyle w:val="a3"/>
        <w:spacing w:line="240" w:lineRule="auto"/>
      </w:pPr>
      <w:r w:rsidRPr="00BC07E3">
        <w:rPr>
          <w:szCs w:val="24"/>
        </w:rPr>
        <w:t>Реализацию деятельности планируется осуществ</w:t>
      </w:r>
      <w:r>
        <w:rPr>
          <w:szCs w:val="24"/>
        </w:rPr>
        <w:t>ить</w:t>
      </w:r>
      <w:r w:rsidRPr="00BC07E3">
        <w:rPr>
          <w:szCs w:val="24"/>
        </w:rPr>
        <w:t xml:space="preserve"> </w:t>
      </w:r>
      <w:r>
        <w:rPr>
          <w:szCs w:val="24"/>
        </w:rPr>
        <w:t xml:space="preserve">в северной части Смолевичского района, на территории </w:t>
      </w:r>
      <w:proofErr w:type="spellStart"/>
      <w:r>
        <w:rPr>
          <w:spacing w:val="2"/>
          <w:szCs w:val="24"/>
        </w:rPr>
        <w:t>Жодинского</w:t>
      </w:r>
      <w:proofErr w:type="spellEnd"/>
      <w:r>
        <w:rPr>
          <w:spacing w:val="2"/>
          <w:szCs w:val="24"/>
        </w:rPr>
        <w:t xml:space="preserve"> сельского совета</w:t>
      </w:r>
      <w:r w:rsidRPr="00BC07E3">
        <w:rPr>
          <w:spacing w:val="2"/>
          <w:szCs w:val="24"/>
        </w:rPr>
        <w:t>.</w:t>
      </w:r>
      <w:r>
        <w:rPr>
          <w:spacing w:val="2"/>
          <w:szCs w:val="24"/>
        </w:rPr>
        <w:t xml:space="preserve"> Ближайшим населенным пунктом является д. Бабий Лес, расположенная в 2,9 км южнее от границ участка. Участок </w:t>
      </w:r>
      <w:r w:rsidRPr="00906EDB">
        <w:rPr>
          <w:spacing w:val="2"/>
          <w:szCs w:val="24"/>
        </w:rPr>
        <w:t>в системе каналов В</w:t>
      </w:r>
      <w:r>
        <w:rPr>
          <w:spacing w:val="2"/>
          <w:szCs w:val="24"/>
        </w:rPr>
        <w:t>2.1</w:t>
      </w:r>
      <w:r w:rsidRPr="00906EDB">
        <w:rPr>
          <w:spacing w:val="2"/>
          <w:szCs w:val="24"/>
        </w:rPr>
        <w:t>–</w:t>
      </w:r>
      <w:r>
        <w:rPr>
          <w:spacing w:val="2"/>
          <w:szCs w:val="24"/>
        </w:rPr>
        <w:t xml:space="preserve">В10 расположен на землях ОАО «Смолевичский лесхоз», с юга примыкает к строящимся полям добычи, </w:t>
      </w:r>
      <w:r>
        <w:rPr>
          <w:spacing w:val="2"/>
        </w:rPr>
        <w:t xml:space="preserve">с которыми </w:t>
      </w:r>
      <w:r>
        <w:t>связан технологически, что не позволяет реализовать деятельность на другой территории. Поэтому территориальная альтернатива реализации проектных решений не рассматривается.</w:t>
      </w:r>
    </w:p>
    <w:bookmarkEnd w:id="3"/>
    <w:sectPr w:rsidR="00DB3671" w:rsidSect="006F234D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2"/>
    <w:rsid w:val="000061C7"/>
    <w:rsid w:val="00014583"/>
    <w:rsid w:val="000471DC"/>
    <w:rsid w:val="00053B40"/>
    <w:rsid w:val="000F0ED6"/>
    <w:rsid w:val="0015131C"/>
    <w:rsid w:val="00177298"/>
    <w:rsid w:val="00182A53"/>
    <w:rsid w:val="00182D13"/>
    <w:rsid w:val="001926D4"/>
    <w:rsid w:val="001A0010"/>
    <w:rsid w:val="00280A2A"/>
    <w:rsid w:val="00321334"/>
    <w:rsid w:val="003562DF"/>
    <w:rsid w:val="003D4D56"/>
    <w:rsid w:val="00460FDB"/>
    <w:rsid w:val="00494A16"/>
    <w:rsid w:val="004B54D8"/>
    <w:rsid w:val="004D2958"/>
    <w:rsid w:val="004D43B8"/>
    <w:rsid w:val="00591869"/>
    <w:rsid w:val="005E4ED0"/>
    <w:rsid w:val="006316F2"/>
    <w:rsid w:val="006944C4"/>
    <w:rsid w:val="006A27EB"/>
    <w:rsid w:val="006B4CE3"/>
    <w:rsid w:val="006F234D"/>
    <w:rsid w:val="00700158"/>
    <w:rsid w:val="007F1E60"/>
    <w:rsid w:val="00810676"/>
    <w:rsid w:val="008464C7"/>
    <w:rsid w:val="008604C4"/>
    <w:rsid w:val="00907132"/>
    <w:rsid w:val="00970927"/>
    <w:rsid w:val="009733A2"/>
    <w:rsid w:val="00973CB6"/>
    <w:rsid w:val="009B0006"/>
    <w:rsid w:val="009B3FCF"/>
    <w:rsid w:val="009B47CE"/>
    <w:rsid w:val="009E31C9"/>
    <w:rsid w:val="00A06BE0"/>
    <w:rsid w:val="00A70130"/>
    <w:rsid w:val="00A70220"/>
    <w:rsid w:val="00A94FB6"/>
    <w:rsid w:val="00AF7261"/>
    <w:rsid w:val="00AF7DCC"/>
    <w:rsid w:val="00B07425"/>
    <w:rsid w:val="00B56A95"/>
    <w:rsid w:val="00C06E87"/>
    <w:rsid w:val="00C15B10"/>
    <w:rsid w:val="00C16261"/>
    <w:rsid w:val="00D05783"/>
    <w:rsid w:val="00D34EDF"/>
    <w:rsid w:val="00D35E9E"/>
    <w:rsid w:val="00D669D1"/>
    <w:rsid w:val="00DB3671"/>
    <w:rsid w:val="00DE34FC"/>
    <w:rsid w:val="00E03355"/>
    <w:rsid w:val="00E41C41"/>
    <w:rsid w:val="00E814B3"/>
    <w:rsid w:val="00E817DE"/>
    <w:rsid w:val="00E96CA8"/>
    <w:rsid w:val="00EB3835"/>
    <w:rsid w:val="00EC2CC9"/>
    <w:rsid w:val="00F726D3"/>
    <w:rsid w:val="00F738D7"/>
    <w:rsid w:val="00F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3AD4"/>
  <w15:chartTrackingRefBased/>
  <w15:docId w15:val="{CEB5AD68-72B6-439D-8113-BF2D1553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7">
    <w:name w:val="caaieiaie 7"/>
    <w:basedOn w:val="a"/>
    <w:next w:val="a"/>
    <w:rsid w:val="009733A2"/>
    <w:pPr>
      <w:keepNext/>
      <w:jc w:val="both"/>
    </w:pPr>
    <w:rPr>
      <w:szCs w:val="20"/>
    </w:rPr>
  </w:style>
  <w:style w:type="paragraph" w:customStyle="1" w:styleId="1">
    <w:name w:val="Обычный1"/>
    <w:rsid w:val="009733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елНИЦ"/>
    <w:qFormat/>
    <w:rsid w:val="00460FD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2">
    <w:name w:val="Body Text Indent 2"/>
    <w:basedOn w:val="a"/>
    <w:link w:val="20"/>
    <w:rsid w:val="00C06E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C06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locked/>
    <w:rsid w:val="00C06E87"/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1926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92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740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740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74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40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4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Ecoland</dc:creator>
  <cp:keywords/>
  <dc:description/>
  <cp:lastModifiedBy>User</cp:lastModifiedBy>
  <cp:revision>33</cp:revision>
  <dcterms:created xsi:type="dcterms:W3CDTF">2021-02-23T06:26:00Z</dcterms:created>
  <dcterms:modified xsi:type="dcterms:W3CDTF">2024-10-18T05:49:00Z</dcterms:modified>
</cp:coreProperties>
</file>