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«Об изменении законов по вопросам налогообложении в отношении физических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лиц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,н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е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осуществляющих предпринимательскую деятельность»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NewRomanPSMT" w:hAnsi="TimesNewRomanPSMT" w:cs="TimesNewRomanPSMT"/>
          <w:sz w:val="30"/>
          <w:szCs w:val="30"/>
          <w:lang w:eastAsia="ru-RU"/>
        </w:rPr>
      </w:pP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NewRomanPSMT" w:hAnsi="TimesNewRomanPSMT" w:cs="TimesNewRomanPSMT"/>
          <w:sz w:val="30"/>
          <w:szCs w:val="30"/>
          <w:lang w:eastAsia="ru-RU"/>
        </w:rPr>
      </w:pP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С 1 января 2022 г. расширен определенный в подпункте 3.1 пункта 3 статьи 337 Налогового кодекса Республики Беларусь (далее – Налоговый кодекс) перечень видов деятельности, которые вправе осуществлять с уплатой единого налога с индивидуальных предпринимателей и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иныхфизических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лиц (далее – единый налог) физические лица, за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счетвключения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него следующих новых видов деятельности: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услуг учителя-дефектолога (подпункт 3.1.31);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ландшафтного проектирования (подпункт 3.1.32);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курьерской деятельности (деятельности по доставке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товаров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,п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осылок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>, пакетов) (подпункт 3.1.33);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чистки салонов транспортных средств (подпункт 3.1.34);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содержания могил и ухода за ними (подпункт 3.1.35);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аренды, проката развлекательного и спортивного оборудовани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я(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велосипедов, коньков, туристического снаряжения и прочее) (подпункт3.1.36).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С 1 января 2022 г. ставки единого налога по новым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видамдеятельности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содержатся в приложении 24 к Налоговому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кодексу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.В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месте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с тем, в соответствии с частью 1 пункта 19 статьи 7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Законаставки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единого налога, предусмотренные приложением 24 к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Налоговомукодексу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редакции, вступившей в силу с 1 января 2022 г.,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применяютсяпри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исчислении суммы единого налога, срок уплаты которого наступает после 30 января 2022 г. Исчисление единого налога за январь 2022 г. по ставкам единого налога, предусмотренным приложением 24 к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Налоговомукодексу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редакции, вступившей в силу с 1 января 2022 г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непредусмотрено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>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Принимая во внимание изложенное, в отношении физических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лиц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,п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редставивших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уведомления по единому налогу за январь 2022 г.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вотношении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новых видов деятельности (перечисленных в 3.1.31-3.1.36пункта 3 статьи 337 Налогового кодекса), налоговым органом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единыйналог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за январь 2022 г. не исчисляется.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В соответствии со статьей 219 Налогового кодекса такие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физическиелица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обязаны в отношении доходов, полученных в январе 2022 г.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отосуществления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видов деятельности, перечисленных в подпунктах 3.1.31-3.1.36 пункта 3 статьи 337 Налогового кодекса, представить в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налоговыйорган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срок не позднее 31 марта 2023 г. налоговую декларацию (расчет)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поподоходному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налогу с физических лиц в порядке, установленном статьей</w:t>
      </w:r>
      <w:proofErr w:type="gramEnd"/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lastRenderedPageBreak/>
        <w:t>222 Налогового кодекса.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Исчисление подоходного налога с физических лиц (далее –подоходный налог) с таких доходов производится налоговым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органом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.У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плата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подоходного налога производится плательщиком не позднее1 июня 2023 г. на основании извещения налогового органа.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Извещение по установленной форме вручается физическому лицу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(его представителю) не позднее 30 апреля 2023 г.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Дополнительно обращаем внимание, что физические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лицапризнаются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плательщиками единого налога при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выполнениипоименованных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подпункте 3.1 пункта 3 статьи 337 Налогового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кодексаработ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(оказании услуг) по заказам граждан, имеющих намерение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заказатьили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приобрести либо заказывающих, приобретающих или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использующихработы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, услуги исключительно для личных, бытовых, семейных и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иныхнужд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>, не связанных с осуществлением предпринимательской деятельност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и(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>далее – потребитель).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При выполнении работ (оказании услуг) по заказам организаций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ииндивидуальных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предпринимателей физические лица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признаютсяплательщиками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подоходного налога в отношении полученных доходов, а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не единого налога. Исчисление, удержание у физических лиц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иперечисление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бюджет исчисленной суммы подоходного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налогаосуществляются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организациями и индивидуальными предпринимателям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и(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далее – налоговые агенты), от которых физические лица получили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доходы,в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порядке и сроки, установленные главой 18 Налогового кодекса.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Таким образом, если физическое лицо по заказу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потребителявыполняет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(оказывает) для него (ему) работы (услуги), перечисленные 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в</w:t>
      </w:r>
      <w:proofErr w:type="gramEnd"/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подпункте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3.1 пункта 3 статьи 337 Налогового кодекса, то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такоефизическое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лицо признается плательщиком единого налога.</w:t>
      </w:r>
      <w:r>
        <w:rPr>
          <w:rFonts w:ascii="TimesNewRomanPSMT" w:hAnsi="TimesNewRomanPSMT" w:cs="TimesNewRomanPSMT"/>
          <w:sz w:val="30"/>
          <w:szCs w:val="30"/>
          <w:lang w:eastAsia="ru-RU"/>
        </w:rPr>
        <w:br/>
        <w:t xml:space="preserve">Если физическое лицо оказывает услуги (выполняет работы)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позаказам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организаций или индивидуальных предпринимателей, в том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числекурьерские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услуги, то такое физическое лицо в отношении этих услуг (работ) не признается плательщиком единого налога. Доходы,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полученныеэтим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физическим лицом от организаций и индивидуальных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предпринимателей, облагаются подоходным налогом, обязанность </w:t>
      </w:r>
      <w:proofErr w:type="spellStart"/>
      <w:r>
        <w:rPr>
          <w:rFonts w:ascii="TimesNewRomanPSMT" w:hAnsi="TimesNewRomanPSMT" w:cs="TimesNewRomanPSMT"/>
          <w:sz w:val="30"/>
          <w:szCs w:val="30"/>
          <w:lang w:eastAsia="ru-RU"/>
        </w:rPr>
        <w:t>поисчислению</w:t>
      </w:r>
      <w:proofErr w:type="spell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, удержанию и </w:t>
      </w:r>
      <w:proofErr w:type="gramStart"/>
      <w:r>
        <w:rPr>
          <w:rFonts w:ascii="TimesNewRomanPSMT" w:hAnsi="TimesNewRomanPSMT" w:cs="TimesNewRomanPSMT"/>
          <w:sz w:val="30"/>
          <w:szCs w:val="30"/>
          <w:lang w:eastAsia="ru-RU"/>
        </w:rPr>
        <w:t>перечислению</w:t>
      </w:r>
      <w:proofErr w:type="gramEnd"/>
      <w:r>
        <w:rPr>
          <w:rFonts w:ascii="TimesNewRomanPSMT" w:hAnsi="TimesNewRomanPSMT" w:cs="TimesNewRomanPSMT"/>
          <w:sz w:val="30"/>
          <w:szCs w:val="30"/>
          <w:lang w:eastAsia="ru-RU"/>
        </w:rPr>
        <w:t xml:space="preserve"> в бюджет которого возлагается</w:t>
      </w:r>
    </w:p>
    <w:p w:rsidR="00052167" w:rsidRDefault="00052167" w:rsidP="00052167">
      <w:pPr>
        <w:autoSpaceDE w:val="0"/>
        <w:autoSpaceDN w:val="0"/>
        <w:adjustRightInd w:val="0"/>
        <w:spacing w:before="0" w:after="0" w:line="240" w:lineRule="auto"/>
        <w:rPr>
          <w:rFonts w:ascii="TimesNewRomanPSMT" w:hAnsi="TimesNewRomanPSMT" w:cs="TimesNewRomanPSMT"/>
          <w:sz w:val="30"/>
          <w:szCs w:val="30"/>
          <w:lang w:eastAsia="ru-RU"/>
        </w:rPr>
      </w:pPr>
      <w:r>
        <w:rPr>
          <w:rFonts w:ascii="TimesNewRomanPSMT" w:hAnsi="TimesNewRomanPSMT" w:cs="TimesNewRomanPSMT"/>
          <w:sz w:val="30"/>
          <w:szCs w:val="30"/>
          <w:lang w:eastAsia="ru-RU"/>
        </w:rPr>
        <w:t>на налоговых агентов.</w:t>
      </w:r>
    </w:p>
    <w:p w:rsidR="00052167" w:rsidRDefault="00052167" w:rsidP="00052167">
      <w:pPr>
        <w:spacing w:before="0" w:after="0" w:line="240" w:lineRule="auto"/>
        <w:jc w:val="left"/>
        <w:rPr>
          <w:rFonts w:ascii="Times New Roman" w:eastAsia="Calibri" w:hAnsi="Times New Roman" w:cs="Times New Roman"/>
          <w:sz w:val="25"/>
          <w:szCs w:val="25"/>
        </w:rPr>
      </w:pPr>
    </w:p>
    <w:p w:rsidR="00052167" w:rsidRDefault="00052167" w:rsidP="00052167">
      <w:pPr>
        <w:spacing w:before="0" w:after="0" w:line="240" w:lineRule="auto"/>
        <w:jc w:val="left"/>
        <w:rPr>
          <w:rFonts w:ascii="Times New Roman" w:eastAsia="Calibri" w:hAnsi="Times New Roman" w:cs="Times New Roman"/>
          <w:sz w:val="25"/>
          <w:szCs w:val="25"/>
        </w:rPr>
      </w:pPr>
    </w:p>
    <w:p w:rsidR="00052167" w:rsidRPr="00637070" w:rsidRDefault="00052167" w:rsidP="00052167">
      <w:pPr>
        <w:spacing w:before="0" w:after="0" w:line="240" w:lineRule="auto"/>
        <w:jc w:val="left"/>
        <w:rPr>
          <w:rFonts w:ascii="Times New Roman" w:eastAsia="Calibri" w:hAnsi="Times New Roman" w:cs="Times New Roman"/>
          <w:sz w:val="25"/>
          <w:szCs w:val="25"/>
        </w:rPr>
      </w:pPr>
      <w:r w:rsidRPr="00637070">
        <w:rPr>
          <w:rFonts w:ascii="Times New Roman" w:eastAsia="Calibri" w:hAnsi="Times New Roman" w:cs="Times New Roman"/>
          <w:sz w:val="25"/>
          <w:szCs w:val="25"/>
        </w:rPr>
        <w:t>Инспекция Министерства по налогам и сборам</w:t>
      </w:r>
    </w:p>
    <w:p w:rsidR="00BA621E" w:rsidRDefault="00052167" w:rsidP="00052167">
      <w:pPr>
        <w:spacing w:before="0" w:after="0" w:line="240" w:lineRule="auto"/>
        <w:jc w:val="left"/>
      </w:pPr>
      <w:r w:rsidRPr="00637070">
        <w:rPr>
          <w:rFonts w:ascii="Times New Roman" w:eastAsia="Calibri" w:hAnsi="Times New Roman" w:cs="Times New Roman"/>
          <w:sz w:val="25"/>
          <w:szCs w:val="25"/>
        </w:rPr>
        <w:t xml:space="preserve"> Республики Беларусь по </w:t>
      </w:r>
      <w:proofErr w:type="spellStart"/>
      <w:r w:rsidRPr="00637070">
        <w:rPr>
          <w:rFonts w:ascii="Times New Roman" w:eastAsia="Calibri" w:hAnsi="Times New Roman" w:cs="Times New Roman"/>
          <w:sz w:val="25"/>
          <w:szCs w:val="25"/>
        </w:rPr>
        <w:t>Смолевичскому</w:t>
      </w:r>
      <w:proofErr w:type="spellEnd"/>
      <w:r w:rsidRPr="00637070">
        <w:rPr>
          <w:rFonts w:ascii="Times New Roman" w:eastAsia="Calibri" w:hAnsi="Times New Roman" w:cs="Times New Roman"/>
          <w:sz w:val="25"/>
          <w:szCs w:val="25"/>
        </w:rPr>
        <w:t xml:space="preserve"> району</w:t>
      </w:r>
    </w:p>
    <w:sectPr w:rsidR="00BA621E" w:rsidSect="0062591E">
      <w:pgSz w:w="11906" w:h="16838" w:code="9"/>
      <w:pgMar w:top="1134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167" w:rsidRDefault="00052167" w:rsidP="00052167">
      <w:pPr>
        <w:spacing w:before="0" w:after="0" w:line="240" w:lineRule="auto"/>
      </w:pPr>
      <w:r>
        <w:separator/>
      </w:r>
    </w:p>
  </w:endnote>
  <w:endnote w:type="continuationSeparator" w:id="1">
    <w:p w:rsidR="00052167" w:rsidRDefault="00052167" w:rsidP="000521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167" w:rsidRDefault="00052167" w:rsidP="00052167">
      <w:pPr>
        <w:spacing w:before="0" w:after="0" w:line="240" w:lineRule="auto"/>
      </w:pPr>
      <w:r>
        <w:separator/>
      </w:r>
    </w:p>
  </w:footnote>
  <w:footnote w:type="continuationSeparator" w:id="1">
    <w:p w:rsidR="00052167" w:rsidRDefault="00052167" w:rsidP="0005216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67"/>
    <w:rsid w:val="00052167"/>
    <w:rsid w:val="003C3EF3"/>
    <w:rsid w:val="0086478F"/>
    <w:rsid w:val="00BA621E"/>
    <w:rsid w:val="00C3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67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16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2167"/>
    <w:rPr>
      <w:rFonts w:ascii="Calibri" w:hAnsi="Calibr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5216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16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Company>MultiDVD Team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2022-03-04T14:16:00Z</dcterms:created>
  <dcterms:modified xsi:type="dcterms:W3CDTF">2022-03-04T14:17:00Z</dcterms:modified>
</cp:coreProperties>
</file>