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D7E" w:rsidRPr="008B5D7E" w:rsidRDefault="008B5D7E" w:rsidP="008B5D7E">
      <w:pPr>
        <w:pStyle w:val="20"/>
        <w:shd w:val="clear" w:color="auto" w:fill="auto"/>
        <w:spacing w:after="0" w:line="240" w:lineRule="auto"/>
        <w:rPr>
          <w:b/>
        </w:rPr>
      </w:pPr>
      <w:r w:rsidRPr="008B5D7E">
        <w:rPr>
          <w:b/>
        </w:rPr>
        <w:t>О</w:t>
      </w:r>
      <w:r w:rsidR="00F659FB" w:rsidRPr="008B5D7E">
        <w:rPr>
          <w:b/>
        </w:rPr>
        <w:t>б основных</w:t>
      </w:r>
      <w:r w:rsidRPr="008B5D7E">
        <w:rPr>
          <w:b/>
        </w:rPr>
        <w:t xml:space="preserve"> </w:t>
      </w:r>
      <w:r w:rsidR="00F659FB" w:rsidRPr="008B5D7E">
        <w:rPr>
          <w:b/>
        </w:rPr>
        <w:t xml:space="preserve">изменениях в налогообложении </w:t>
      </w:r>
    </w:p>
    <w:p w:rsidR="00433ACB" w:rsidRPr="008B5D7E" w:rsidRDefault="00F659FB" w:rsidP="008B5D7E">
      <w:pPr>
        <w:pStyle w:val="20"/>
        <w:shd w:val="clear" w:color="auto" w:fill="auto"/>
        <w:spacing w:after="0" w:line="240" w:lineRule="auto"/>
        <w:rPr>
          <w:b/>
        </w:rPr>
      </w:pPr>
      <w:r w:rsidRPr="008B5D7E">
        <w:rPr>
          <w:b/>
        </w:rPr>
        <w:t>организаций</w:t>
      </w:r>
      <w:r w:rsidR="008B5D7E" w:rsidRPr="008B5D7E">
        <w:rPr>
          <w:b/>
        </w:rPr>
        <w:t xml:space="preserve"> в 2025 году.</w:t>
      </w:r>
    </w:p>
    <w:p w:rsidR="008B5D7E" w:rsidRDefault="008B5D7E" w:rsidP="008B5D7E">
      <w:pPr>
        <w:pStyle w:val="20"/>
        <w:shd w:val="clear" w:color="auto" w:fill="auto"/>
        <w:spacing w:after="0" w:line="341" w:lineRule="exact"/>
        <w:ind w:firstLine="760"/>
        <w:jc w:val="both"/>
      </w:pPr>
    </w:p>
    <w:p w:rsidR="00433ACB" w:rsidRDefault="00F659FB" w:rsidP="008B5D7E">
      <w:pPr>
        <w:pStyle w:val="60"/>
        <w:shd w:val="clear" w:color="auto" w:fill="auto"/>
        <w:ind w:firstLine="760"/>
        <w:jc w:val="center"/>
      </w:pPr>
      <w:r>
        <w:t>Налог на добавленную стоимость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С 2025 года не признается объектом налогообложения НДС передача товаров (работ, услуг), приобретенных за счет отчислений, получаемых профсоюзной организацией от нанимателя в соответствии с коллективным договором, членам семей работников, а также пенсионерам, ветеранам, инвалидам, ранее состоявшим в трудовых отношениях с нанимателем и оставшихся членами профсоюзами.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До 2025 года не признавались объектом передача товаров (работ, услуг) только членам профсоюза, которые являются работниками, состоящими в трудовых отношениях с нанимателем.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Ставка НДС по фармацевтическим субстанциям установлена в размере 10 %. Фармацевтическая субстанция - сырье для производства лекарственных средств.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До 2025 года применялась ставка в размере 20 %.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Ставка НДС по готовым продуктам из мяса индейки (код ТНВЭД ЕАЭС 1602 31) установлена в размере 10 % (Приложение 26 к Налоговому кодексу). До 2025 применялась ставка в размере 20 %.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Ограничен вычет НДС у покупателя в ситуациях, когда расходы признаются экономически не обоснованными.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Определен порядок исчисления НДС по договорам факторинга.</w:t>
      </w:r>
    </w:p>
    <w:p w:rsidR="008B5D7E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Уточнены нормы, регулирующие исчисление НДС при дистанционной продаже товаров.</w:t>
      </w:r>
      <w:r w:rsidR="008B5D7E">
        <w:t xml:space="preserve"> </w:t>
      </w:r>
    </w:p>
    <w:p w:rsidR="008B5D7E" w:rsidRDefault="008B5D7E">
      <w:pPr>
        <w:pStyle w:val="20"/>
        <w:shd w:val="clear" w:color="auto" w:fill="auto"/>
        <w:spacing w:after="0" w:line="341" w:lineRule="exact"/>
        <w:ind w:firstLine="760"/>
        <w:jc w:val="both"/>
      </w:pPr>
    </w:p>
    <w:p w:rsidR="00433ACB" w:rsidRDefault="00F659FB" w:rsidP="008B5D7E">
      <w:pPr>
        <w:pStyle w:val="60"/>
        <w:shd w:val="clear" w:color="auto" w:fill="auto"/>
        <w:ind w:firstLine="760"/>
        <w:jc w:val="center"/>
      </w:pPr>
      <w:r>
        <w:t>Налог на прибыль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Экономически обоснованными затратами не признаются расходы по выплатам, связанным с предоставлением взаимозависимым лицом персонала организации и осуществляемым после заключения такой организацией трудового договора с работником (гражданско-правового договора с физическим лицом), предоставленным ей.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Затраты по доставке работников до места работы (рабочего места) и обратно включаются в состав прочих нормируемых затрат.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Не вправе применять инвестиционный вычет: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1015"/>
        </w:tabs>
        <w:spacing w:after="0" w:line="341" w:lineRule="exact"/>
        <w:ind w:firstLine="760"/>
        <w:jc w:val="both"/>
      </w:pPr>
      <w:r>
        <w:t>бюджетные организации;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1015"/>
        </w:tabs>
        <w:spacing w:after="0" w:line="341" w:lineRule="exact"/>
        <w:ind w:firstLine="760"/>
        <w:jc w:val="both"/>
      </w:pPr>
      <w:r>
        <w:t>общественные объединения;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1015"/>
        </w:tabs>
        <w:spacing w:after="0" w:line="341" w:lineRule="exact"/>
        <w:ind w:firstLine="760"/>
        <w:jc w:val="both"/>
      </w:pPr>
      <w:r>
        <w:t>религиозные организации;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1015"/>
        </w:tabs>
        <w:spacing w:after="0" w:line="341" w:lineRule="exact"/>
        <w:ind w:firstLine="760"/>
        <w:jc w:val="both"/>
      </w:pPr>
      <w:r>
        <w:t>республиканские государственно-общественные объединения;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977"/>
        </w:tabs>
        <w:spacing w:after="0" w:line="341" w:lineRule="exact"/>
        <w:ind w:firstLine="760"/>
        <w:jc w:val="both"/>
      </w:pPr>
      <w:r>
        <w:t>иные некоммерческие организации, созданные в соответствии с законодательством, кроме организаций потребительской кооперации.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Инвестиционный вычет может применяться по зданиям и сооружениям только если они являются зданиями и сооружениями производственного назначения.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lastRenderedPageBreak/>
        <w:t>К зданиям производственного назначения для применения инвестиционного вычета не относятся: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1015"/>
        </w:tabs>
        <w:spacing w:after="0" w:line="341" w:lineRule="exact"/>
        <w:ind w:firstLine="760"/>
        <w:jc w:val="both"/>
      </w:pPr>
      <w:r>
        <w:t>административные и жилые здания;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1015"/>
        </w:tabs>
        <w:spacing w:after="0" w:line="341" w:lineRule="exact"/>
        <w:ind w:firstLine="760"/>
        <w:jc w:val="both"/>
      </w:pPr>
      <w:r>
        <w:t>здания гостиниц и другие здания для краткосрочного проживания;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977"/>
        </w:tabs>
        <w:spacing w:after="0" w:line="341" w:lineRule="exact"/>
        <w:ind w:firstLine="760"/>
        <w:jc w:val="both"/>
      </w:pPr>
      <w:r>
        <w:t>здания гаражей, паркингов и иные здания для хранения автомобилей;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1584"/>
        </w:tabs>
        <w:spacing w:after="0" w:line="341" w:lineRule="exact"/>
        <w:ind w:firstLine="760"/>
        <w:jc w:val="both"/>
      </w:pPr>
      <w:r>
        <w:t xml:space="preserve">здания культурно-развлекательного, </w:t>
      </w:r>
      <w:proofErr w:type="spellStart"/>
      <w:r>
        <w:t>физкультурно</w:t>
      </w:r>
      <w:r>
        <w:softHyphen/>
        <w:t>оздоровительного</w:t>
      </w:r>
      <w:proofErr w:type="spellEnd"/>
      <w:r>
        <w:t>, спортивно-массового и спортивного назначения;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977"/>
        </w:tabs>
        <w:spacing w:after="0" w:line="341" w:lineRule="exact"/>
        <w:ind w:firstLine="760"/>
        <w:jc w:val="both"/>
      </w:pPr>
      <w:r>
        <w:t>здания, используемые (предназначенные для использования) в деятельности в сферах игорного бизнеса, торговли, общественного питания.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Инвестиционный вычет не применяется: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980"/>
        </w:tabs>
        <w:spacing w:after="0" w:line="341" w:lineRule="exact"/>
        <w:ind w:firstLine="760"/>
        <w:jc w:val="both"/>
      </w:pPr>
      <w:r>
        <w:t>по основным средствам, нормативный срок службы которых, установленный законодательством, регулирующим нормативные сроки службы основных средств, составляет менее пяти лет, и стоимости вложений в реконструкцию таких основных средств;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977"/>
        </w:tabs>
        <w:spacing w:after="0" w:line="341" w:lineRule="exact"/>
        <w:ind w:firstLine="760"/>
        <w:jc w:val="both"/>
      </w:pPr>
      <w:r>
        <w:t>по основным средствам, полученным правопреемником при реорганизации (за исключением реорганизации в форме преобразования) от реорганизованной организации в соответствии с передаточным актом или разделительным балансом.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В состав внереализационных доходов включаются денежные средства и иное имущество, полученные участником (акционером) организации при уменьшении уставного фонда организации.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В состав внереализационных расходов включаются расходы на списание неотделимых улучшений объектов аренды, финансовой аренды (лизинга) при досрочном расторжении договоров аренды, финансовой аренды (лизинга)).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В состав внереализационных расходов не включаются курсовые разницы, возникающие в связи с предоставлением и (или) получением займов в белорусских рублях в сумме, эквивалентной определенной сумме в иностранной валюте.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С 0,15% до 0,5 % от ФОТ увеличен размер отчислений нанимателями денежных средств профсоюзным организациям, в пределах которого такие расходы могут быть включены в состав внереализационных расходов при налогообложении прибыли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 xml:space="preserve">Отменяются пониженные ставки налога на прибыль с дивидендов в размере 6 </w:t>
      </w:r>
      <w:r>
        <w:rPr>
          <w:rStyle w:val="2BookAntiqua14pt"/>
        </w:rPr>
        <w:t>%</w:t>
      </w:r>
      <w:r>
        <w:t xml:space="preserve"> - с 2026 года, в размере 0% - с 2028 года.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Определен порядок налогообложения операций с токенами.</w:t>
      </w:r>
    </w:p>
    <w:p w:rsidR="008B5D7E" w:rsidRDefault="008B5D7E">
      <w:pPr>
        <w:pStyle w:val="20"/>
        <w:shd w:val="clear" w:color="auto" w:fill="auto"/>
        <w:spacing w:after="0" w:line="341" w:lineRule="exact"/>
        <w:ind w:firstLine="760"/>
        <w:jc w:val="both"/>
      </w:pPr>
    </w:p>
    <w:p w:rsidR="00433ACB" w:rsidRDefault="00F659FB" w:rsidP="008B5D7E">
      <w:pPr>
        <w:pStyle w:val="60"/>
        <w:shd w:val="clear" w:color="auto" w:fill="auto"/>
        <w:ind w:firstLine="760"/>
        <w:jc w:val="center"/>
      </w:pPr>
      <w:r>
        <w:t>Налог на доходы иностранных организаций, не осуществляющих деятельность в Республике Беларусь через постоянное представительство (далее — налог на доходы)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 xml:space="preserve">Закреплен применяющийся на практике подход к непризнанию </w:t>
      </w:r>
      <w:r>
        <w:lastRenderedPageBreak/>
        <w:t>объектом налогообложения налогом на доходы суммы возмещения иностранным организациям убытков. Понятие убытков определено статьей 14 Гражданского кодекса Республики Беларусь.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По дивидендам и приравненным к ним доходам установлена ставка налога на доходы в размере 25 %.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Установлена обязанность для иностранных организаций через налогового агента ежегодно представлять подтверждение того, что они являются фактическими владельцами дохода.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 xml:space="preserve">Такое подтверждение подлежит представлению в случае применения с отражением в налоговой декларации (расчете) по налогу на доходы предусмотренных в международных договорах об </w:t>
      </w:r>
      <w:proofErr w:type="spellStart"/>
      <w:r>
        <w:t>избежании</w:t>
      </w:r>
      <w:proofErr w:type="spellEnd"/>
      <w:r>
        <w:t xml:space="preserve"> двойного налогообложения пониженной ставки налога на доходы либо освобождения от него в отношении доходов в виде дивидендов, процентов, роялти, а также предусмотренной налоговым законодательством Республики Беларусь пониженной ставки налога на доходы, когда условием ее применения является получение дохода его фактическим владельцем.</w:t>
      </w:r>
    </w:p>
    <w:p w:rsidR="00433ACB" w:rsidRDefault="00F659FB" w:rsidP="008B5D7E">
      <w:pPr>
        <w:pStyle w:val="60"/>
        <w:shd w:val="clear" w:color="auto" w:fill="auto"/>
        <w:ind w:firstLine="760"/>
        <w:jc w:val="center"/>
      </w:pPr>
      <w:r>
        <w:t>Земельный налог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Отменена льгота на сельскохозяйственные земли сельскохозяйственного назначения для организаций, применяющих налог при УСН.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Установлено, что не применяется коэффициент 3 по земельным участкам: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1458"/>
        </w:tabs>
        <w:spacing w:after="0" w:line="341" w:lineRule="exact"/>
        <w:ind w:firstLine="760"/>
        <w:jc w:val="both"/>
      </w:pPr>
      <w:r>
        <w:t>управлений капитального строительства;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1458"/>
        </w:tabs>
        <w:spacing w:after="0" w:line="341" w:lineRule="exact"/>
        <w:ind w:firstLine="760"/>
        <w:jc w:val="both"/>
      </w:pPr>
      <w:r>
        <w:t>организаций нефтепереработки.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Местные Советы депутатов получили право освобождать отдельные категории плательщиков от применения коэффициента 3.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Проиндексированы ставки, установленные в белорусских рублях.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60"/>
        <w:jc w:val="both"/>
      </w:pPr>
      <w:r>
        <w:t>При расчете авансовых платежей не учитываются суммы земельного налога по участкам, по которым: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965"/>
        </w:tabs>
        <w:spacing w:after="0" w:line="341" w:lineRule="exact"/>
        <w:ind w:firstLine="740"/>
        <w:jc w:val="both"/>
      </w:pPr>
      <w:r>
        <w:t>приняты решения об изъятии земельного участка (прекращении прав на земельный участок) либо осуществлена государственная регистрация перехода права на земельный участок к иному лицу в предыдущем календарном году;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965"/>
        </w:tabs>
        <w:spacing w:after="0" w:line="341" w:lineRule="exact"/>
        <w:ind w:firstLine="740"/>
        <w:jc w:val="both"/>
      </w:pPr>
      <w:r>
        <w:t>приняты решения об изъятии земельного участка (прекращении права собственности на земельный участок, прав постоянного или временного пользования земельным участком) в случае, если эти же земельные участки предоставлены этой же организации в аренду.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40"/>
        <w:jc w:val="both"/>
      </w:pPr>
      <w:r>
        <w:t>Если в текущем году у организации происходит выбытие всех земельных участков, авансовые платежи, оставшиеся до конца текущего года, аннулируются.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40"/>
        <w:jc w:val="both"/>
      </w:pPr>
      <w:r>
        <w:t>Авансовые платежи рассчитываются без коэффициента 3,0, примененного в отношении земельных участков, на которых отсутствуют капитальные строения.</w:t>
      </w:r>
    </w:p>
    <w:p w:rsidR="008B5D7E" w:rsidRDefault="008B5D7E">
      <w:pPr>
        <w:pStyle w:val="20"/>
        <w:shd w:val="clear" w:color="auto" w:fill="auto"/>
        <w:spacing w:after="0" w:line="341" w:lineRule="exact"/>
        <w:ind w:firstLine="740"/>
        <w:jc w:val="both"/>
      </w:pPr>
    </w:p>
    <w:p w:rsidR="008B5D7E" w:rsidRDefault="008B5D7E">
      <w:pPr>
        <w:pStyle w:val="20"/>
        <w:shd w:val="clear" w:color="auto" w:fill="auto"/>
        <w:spacing w:after="0" w:line="341" w:lineRule="exact"/>
        <w:ind w:firstLine="740"/>
        <w:jc w:val="both"/>
      </w:pPr>
    </w:p>
    <w:p w:rsidR="00433ACB" w:rsidRDefault="00F659FB" w:rsidP="008B5D7E">
      <w:pPr>
        <w:pStyle w:val="60"/>
        <w:shd w:val="clear" w:color="auto" w:fill="auto"/>
        <w:jc w:val="center"/>
      </w:pPr>
      <w:r>
        <w:t>Налог на недвижимость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40"/>
        <w:jc w:val="both"/>
      </w:pPr>
      <w:r>
        <w:t>Установлено, что переход статуса плательщика на иностранную организацию при аренде капитальных строений у физических лиц происходит только в том случае, когда иностранная организация состоит на учете в налоговых органах Республики Беларусь.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40"/>
        <w:jc w:val="both"/>
      </w:pPr>
      <w:r>
        <w:t xml:space="preserve">Размеры расчетной стоимости 1 кв. м. (1 м.) типового </w:t>
      </w:r>
      <w:proofErr w:type="spellStart"/>
      <w:r>
        <w:t>капстроения</w:t>
      </w:r>
      <w:proofErr w:type="spellEnd"/>
      <w:r>
        <w:t xml:space="preserve"> на 2025 г. установлены в приложении 32-2 к НК. По сравнению с 2024 г. данные показатели проиндексированы в среднем на 5,3 - 5,6%. При этом для плательщиков-организаций по иным зданиям, сооружениям, помещениям исключено ранжирование стоимости в зависимости от их площади (протяженности) и введено одно общее значение, которое соответствует стоимости иных </w:t>
      </w:r>
      <w:proofErr w:type="spellStart"/>
      <w:r>
        <w:t>капстроений</w:t>
      </w:r>
      <w:proofErr w:type="spellEnd"/>
      <w:r>
        <w:t xml:space="preserve"> не более 200 кв. м (м).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40"/>
        <w:jc w:val="both"/>
      </w:pPr>
      <w:r>
        <w:t>Уточнено, что к капитальным строениям (зданиям, сооружениям), их частям сельскохозяйственного назначения, используемым (предназначенным для использования) организациями для производства продукции растениеводства, животноводства, рыбоводства и пчеловодства, в целях применения освобождения от налога на недвижимость относятся в том числе мелиоративные системы и отдельно расположенные гидротехнические сооружения.</w:t>
      </w:r>
    </w:p>
    <w:p w:rsidR="008B5D7E" w:rsidRDefault="008B5D7E">
      <w:pPr>
        <w:pStyle w:val="20"/>
        <w:shd w:val="clear" w:color="auto" w:fill="auto"/>
        <w:spacing w:after="0" w:line="341" w:lineRule="exact"/>
        <w:ind w:firstLine="740"/>
        <w:jc w:val="both"/>
      </w:pPr>
    </w:p>
    <w:p w:rsidR="00433ACB" w:rsidRDefault="00F659FB" w:rsidP="008B5D7E">
      <w:pPr>
        <w:pStyle w:val="60"/>
        <w:shd w:val="clear" w:color="auto" w:fill="auto"/>
        <w:jc w:val="center"/>
      </w:pPr>
      <w:r>
        <w:t>Экологический налог и налог за добычу (изъятие) природных ресурсов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40"/>
        <w:jc w:val="both"/>
      </w:pPr>
      <w:r>
        <w:t>Ставки налогов проиндексированы - приложения 7-10 к НК.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40"/>
        <w:jc w:val="both"/>
      </w:pPr>
      <w:r>
        <w:t>Установлено, что плательщики могут ежеквартально уменьшать исчисленную сумму экологического налога за захоронение отходов производства (в размере не более исчисленной суммы экологического налога за захоронение отходов производства в указанный период) на сумму произведенных расходов на финансирование капитальных вложений (за исключением капитальных вложений, финансируемых из бюджета) в возведение и (или) реконструкцию собственниками отходов объектов по использованию отходов и (или) объектов обезвреживания и захоронения отходов.</w:t>
      </w:r>
    </w:p>
    <w:p w:rsidR="008B5D7E" w:rsidRDefault="008B5D7E">
      <w:pPr>
        <w:pStyle w:val="20"/>
        <w:shd w:val="clear" w:color="auto" w:fill="auto"/>
        <w:spacing w:after="0" w:line="341" w:lineRule="exact"/>
        <w:ind w:firstLine="740"/>
        <w:jc w:val="both"/>
      </w:pPr>
    </w:p>
    <w:p w:rsidR="00433ACB" w:rsidRDefault="00F659FB" w:rsidP="008B5D7E">
      <w:pPr>
        <w:pStyle w:val="60"/>
        <w:shd w:val="clear" w:color="auto" w:fill="auto"/>
        <w:jc w:val="center"/>
      </w:pPr>
      <w:r>
        <w:t>Транспортный налог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40"/>
        <w:jc w:val="both"/>
      </w:pPr>
      <w:r>
        <w:t>С 1 января 2025 г. ставки транспортного налога, установленные для организаций, проиндексированы в среднем на 5,3 - 5,6 %.</w:t>
      </w:r>
    </w:p>
    <w:p w:rsidR="008B5D7E" w:rsidRDefault="008B5D7E">
      <w:pPr>
        <w:pStyle w:val="20"/>
        <w:shd w:val="clear" w:color="auto" w:fill="auto"/>
        <w:spacing w:after="0" w:line="341" w:lineRule="exact"/>
        <w:ind w:firstLine="740"/>
        <w:jc w:val="both"/>
      </w:pPr>
    </w:p>
    <w:p w:rsidR="00433ACB" w:rsidRDefault="00F659FB" w:rsidP="008B5D7E">
      <w:pPr>
        <w:pStyle w:val="60"/>
        <w:shd w:val="clear" w:color="auto" w:fill="auto"/>
        <w:jc w:val="center"/>
      </w:pPr>
      <w:r>
        <w:t>Налог при упрощенной системе налогообложения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40"/>
        <w:jc w:val="both"/>
      </w:pPr>
      <w:r>
        <w:t>Критерии валовой выручки увеличены: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41" w:lineRule="exact"/>
        <w:ind w:firstLine="740"/>
        <w:jc w:val="both"/>
      </w:pPr>
      <w:r>
        <w:t>для применения УСН с 2 311 250 бел. руб. до 3 500 000 бел. руб.;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979"/>
        </w:tabs>
        <w:spacing w:after="0" w:line="341" w:lineRule="exact"/>
        <w:ind w:firstLine="740"/>
        <w:jc w:val="both"/>
      </w:pPr>
      <w:r>
        <w:t xml:space="preserve">для перехода на УСН с 1 января 2026 г. - с 1 733 440 бел. руб. до </w:t>
      </w:r>
      <w:r>
        <w:lastRenderedPageBreak/>
        <w:t>2 625 000 бел. руб.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40"/>
        <w:jc w:val="both"/>
      </w:pPr>
      <w:r>
        <w:t>Независимо от увеличения критерия валовой выручки для целей применения УСН организации, являвшиеся в 2024 г. плательщиками налога при УСН, не вправе применять УСН в 2025 г., если их валовая выручка нарастающим итогом за 2024 г. превысила 2 311 250 бел. руб.</w:t>
      </w:r>
    </w:p>
    <w:p w:rsidR="00433ACB" w:rsidRDefault="00F659FB">
      <w:pPr>
        <w:pStyle w:val="20"/>
        <w:shd w:val="clear" w:color="auto" w:fill="auto"/>
        <w:spacing w:after="0" w:line="341" w:lineRule="exact"/>
        <w:ind w:firstLine="740"/>
        <w:jc w:val="both"/>
      </w:pPr>
      <w:r>
        <w:t>Установлены ограничения на применение УСН в отношении организаций: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979"/>
        </w:tabs>
        <w:spacing w:after="0" w:line="341" w:lineRule="exact"/>
        <w:ind w:firstLine="740"/>
        <w:jc w:val="both"/>
      </w:pPr>
      <w:r>
        <w:t>имеющих обособленные подразделения, зарегистрированные в качестве плательщиков налогов иностранного государства;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1214"/>
        </w:tabs>
        <w:spacing w:after="0" w:line="341" w:lineRule="exact"/>
        <w:ind w:firstLine="740"/>
        <w:jc w:val="both"/>
      </w:pPr>
      <w:r>
        <w:t>осуществляющих операции (деятельность), связанные с отчуждением (приобретением) цифровых знаков (токенов) за белорусские рубли, иностранную валюту, и (или) получающих денежные средства в белорусских рублях и иностранной валюте, если такое получение обусловлено осуществлением операций с цифровыми знаками (токенами) либо их наличием у организации;</w:t>
      </w:r>
    </w:p>
    <w:p w:rsidR="00433ACB" w:rsidRDefault="00F659FB">
      <w:pPr>
        <w:pStyle w:val="20"/>
        <w:numPr>
          <w:ilvl w:val="0"/>
          <w:numId w:val="1"/>
        </w:numPr>
        <w:shd w:val="clear" w:color="auto" w:fill="auto"/>
        <w:tabs>
          <w:tab w:val="left" w:pos="1214"/>
        </w:tabs>
        <w:spacing w:after="0" w:line="341" w:lineRule="exact"/>
        <w:ind w:firstLine="740"/>
        <w:jc w:val="both"/>
      </w:pPr>
      <w:r>
        <w:t>созданных в результате реорганизации в форме слияния (разделения, выделения из) других организаций, утративших право на применение УСН в связи с превышением критерия валовой выручки.</w:t>
      </w:r>
    </w:p>
    <w:p w:rsidR="008B5D7E" w:rsidRDefault="008B5D7E" w:rsidP="008B5D7E">
      <w:pPr>
        <w:pStyle w:val="20"/>
        <w:shd w:val="clear" w:color="auto" w:fill="auto"/>
        <w:spacing w:after="453" w:line="341" w:lineRule="exact"/>
        <w:ind w:firstLine="740"/>
        <w:jc w:val="both"/>
      </w:pPr>
      <w:r>
        <w:t>Более подробно ознакомится с информацией Вы можете на</w:t>
      </w:r>
      <w:r w:rsidR="00F659FB">
        <w:t xml:space="preserve"> </w:t>
      </w:r>
      <w:r w:rsidRPr="008B5D7E">
        <w:t xml:space="preserve">сайте Министерства по налогам и сборам Республики Беларусь </w:t>
      </w:r>
      <w:hyperlink r:id="rId7" w:history="1">
        <w:r w:rsidRPr="00E522AB">
          <w:rPr>
            <w:rStyle w:val="a3"/>
          </w:rPr>
          <w:t>https://nalog.gov.by/</w:t>
        </w:r>
      </w:hyperlink>
      <w:r>
        <w:t>.</w:t>
      </w:r>
    </w:p>
    <w:p w:rsidR="008B5D7E" w:rsidRDefault="008B5D7E" w:rsidP="008B5D7E">
      <w:pPr>
        <w:pStyle w:val="20"/>
        <w:shd w:val="clear" w:color="auto" w:fill="auto"/>
        <w:spacing w:after="453" w:line="341" w:lineRule="exact"/>
        <w:ind w:firstLine="740"/>
        <w:jc w:val="both"/>
      </w:pPr>
    </w:p>
    <w:p w:rsidR="008B5D7E" w:rsidRPr="008B5D7E" w:rsidRDefault="008B5D7E" w:rsidP="008B5D7E">
      <w:pPr>
        <w:pStyle w:val="20"/>
        <w:shd w:val="clear" w:color="auto" w:fill="auto"/>
        <w:spacing w:after="453" w:line="341" w:lineRule="exact"/>
        <w:ind w:firstLine="740"/>
        <w:jc w:val="right"/>
        <w:rPr>
          <w:b/>
        </w:rPr>
      </w:pPr>
      <w:r>
        <w:rPr>
          <w:b/>
        </w:rPr>
        <w:t xml:space="preserve">                            </w:t>
      </w:r>
      <w:bookmarkStart w:id="0" w:name="_GoBack"/>
      <w:r w:rsidRPr="008B5D7E">
        <w:rPr>
          <w:b/>
        </w:rPr>
        <w:t xml:space="preserve">Инспекция Министерства по налогам и </w:t>
      </w:r>
      <w:proofErr w:type="gramStart"/>
      <w:r w:rsidRPr="008B5D7E">
        <w:rPr>
          <w:b/>
        </w:rPr>
        <w:t xml:space="preserve">сборам </w:t>
      </w:r>
      <w:r>
        <w:rPr>
          <w:b/>
        </w:rPr>
        <w:t xml:space="preserve"> </w:t>
      </w:r>
      <w:r w:rsidRPr="008B5D7E">
        <w:rPr>
          <w:b/>
        </w:rPr>
        <w:t>Республики</w:t>
      </w:r>
      <w:proofErr w:type="gramEnd"/>
      <w:r w:rsidRPr="008B5D7E">
        <w:rPr>
          <w:b/>
        </w:rPr>
        <w:t xml:space="preserve"> Беларусь по </w:t>
      </w:r>
      <w:proofErr w:type="spellStart"/>
      <w:r w:rsidRPr="008B5D7E">
        <w:rPr>
          <w:b/>
        </w:rPr>
        <w:t>Смолевичскому</w:t>
      </w:r>
      <w:proofErr w:type="spellEnd"/>
      <w:r w:rsidRPr="008B5D7E">
        <w:rPr>
          <w:b/>
        </w:rPr>
        <w:t xml:space="preserve"> району</w:t>
      </w:r>
      <w:bookmarkEnd w:id="0"/>
    </w:p>
    <w:p w:rsidR="00433ACB" w:rsidRDefault="00433ACB">
      <w:pPr>
        <w:pStyle w:val="50"/>
        <w:shd w:val="clear" w:color="auto" w:fill="auto"/>
        <w:spacing w:line="182" w:lineRule="exact"/>
        <w:ind w:right="7860"/>
      </w:pPr>
    </w:p>
    <w:sectPr w:rsidR="00433ACB" w:rsidSect="00F659FB">
      <w:headerReference w:type="default" r:id="rId8"/>
      <w:pgSz w:w="11900" w:h="16840"/>
      <w:pgMar w:top="851" w:right="851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D7E" w:rsidRDefault="008B5D7E">
      <w:r>
        <w:separator/>
      </w:r>
    </w:p>
  </w:endnote>
  <w:endnote w:type="continuationSeparator" w:id="0">
    <w:p w:rsidR="008B5D7E" w:rsidRDefault="008B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D7E" w:rsidRDefault="008B5D7E"/>
  </w:footnote>
  <w:footnote w:type="continuationSeparator" w:id="0">
    <w:p w:rsidR="008B5D7E" w:rsidRDefault="008B5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ACB" w:rsidRDefault="00C55B5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2.75pt;margin-top:30.15pt;width:6pt;height:9.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3ACB" w:rsidRDefault="00F659F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6"/>
                  </w:rPr>
                  <w:t>#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C3151"/>
    <w:multiLevelType w:val="multilevel"/>
    <w:tmpl w:val="5E041B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ACB"/>
    <w:rsid w:val="00433ACB"/>
    <w:rsid w:val="008B5D7E"/>
    <w:rsid w:val="00C55B5F"/>
    <w:rsid w:val="00F6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7629DA"/>
  <w15:docId w15:val="{7C4BA414-F87A-46BC-9163-C335CEDF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ookAntiqua14pt">
    <w:name w:val="Основной текст (2) + Book Antiqua;14 pt;Полужирный;Курсив"/>
    <w:basedOn w:val="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6" w:lineRule="exact"/>
      <w:ind w:firstLine="3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74" w:lineRule="exact"/>
      <w:ind w:hanging="38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41" w:lineRule="exact"/>
      <w:ind w:firstLine="74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Unresolved Mention"/>
    <w:basedOn w:val="a0"/>
    <w:uiPriority w:val="99"/>
    <w:semiHidden/>
    <w:unhideWhenUsed/>
    <w:rsid w:val="008B5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log.gov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2</cp:revision>
  <dcterms:created xsi:type="dcterms:W3CDTF">2025-02-03T13:50:00Z</dcterms:created>
  <dcterms:modified xsi:type="dcterms:W3CDTF">2025-02-03T14:29:00Z</dcterms:modified>
</cp:coreProperties>
</file>