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C80" w:rsidRDefault="00436C80">
      <w:pPr>
        <w:widowControl w:val="0"/>
        <w:autoSpaceDE w:val="0"/>
        <w:autoSpaceDN w:val="0"/>
        <w:adjustRightInd w:val="0"/>
        <w:spacing w:after="0" w:line="240" w:lineRule="auto"/>
        <w:jc w:val="both"/>
        <w:rPr>
          <w:rFonts w:ascii="Arial" w:hAnsi="Arial" w:cs="Arial"/>
          <w:color w:val="000000"/>
          <w:kern w:val="0"/>
          <w:sz w:val="22"/>
          <w:szCs w:val="22"/>
        </w:rPr>
      </w:pPr>
      <w:bookmarkStart w:id="0" w:name="1"/>
      <w:bookmarkStart w:id="1" w:name="_GoBack"/>
      <w:bookmarkEnd w:id="0"/>
      <w:bookmarkEnd w:id="1"/>
      <w:r>
        <w:rPr>
          <w:rFonts w:ascii="Arial" w:hAnsi="Arial" w:cs="Arial"/>
          <w:color w:val="000000"/>
          <w:kern w:val="0"/>
          <w:sz w:val="22"/>
          <w:szCs w:val="22"/>
        </w:rPr>
        <w:t>Зарегистрировано в Национальном реестре правовых актов</w:t>
      </w:r>
    </w:p>
    <w:p w:rsidR="00436C80" w:rsidRDefault="00436C80">
      <w:pPr>
        <w:widowControl w:val="0"/>
        <w:autoSpaceDE w:val="0"/>
        <w:autoSpaceDN w:val="0"/>
        <w:adjustRightInd w:val="0"/>
        <w:spacing w:after="0" w:line="240" w:lineRule="auto"/>
        <w:jc w:val="both"/>
        <w:rPr>
          <w:rFonts w:ascii="Arial" w:hAnsi="Arial" w:cs="Arial"/>
          <w:color w:val="000000"/>
          <w:kern w:val="0"/>
          <w:sz w:val="22"/>
          <w:szCs w:val="22"/>
        </w:rPr>
      </w:pPr>
      <w:bookmarkStart w:id="2" w:name="2"/>
      <w:bookmarkEnd w:id="2"/>
      <w:r>
        <w:rPr>
          <w:rFonts w:ascii="Arial" w:hAnsi="Arial" w:cs="Arial"/>
          <w:color w:val="000000"/>
          <w:kern w:val="0"/>
          <w:sz w:val="22"/>
          <w:szCs w:val="22"/>
        </w:rPr>
        <w:t>Республики Беларусь 24 февраля 2025 г. N 1/21817</w:t>
      </w:r>
    </w:p>
    <w:p w:rsidR="00436C80" w:rsidRDefault="00436C80">
      <w:pPr>
        <w:widowControl w:val="0"/>
        <w:autoSpaceDE w:val="0"/>
        <w:autoSpaceDN w:val="0"/>
        <w:adjustRightInd w:val="0"/>
        <w:spacing w:after="0" w:line="240" w:lineRule="auto"/>
        <w:jc w:val="both"/>
        <w:rPr>
          <w:rFonts w:ascii="Arial" w:hAnsi="Arial" w:cs="Arial"/>
          <w:color w:val="000000"/>
          <w:kern w:val="0"/>
          <w:sz w:val="22"/>
          <w:szCs w:val="22"/>
        </w:rPr>
      </w:pPr>
      <w:bookmarkStart w:id="3" w:name="3"/>
      <w:bookmarkEnd w:id="3"/>
      <w:r>
        <w:rPr>
          <w:rFonts w:ascii="Arial" w:hAnsi="Arial" w:cs="Arial"/>
          <w:color w:val="000000"/>
          <w:kern w:val="0"/>
          <w:sz w:val="22"/>
          <w:szCs w:val="22"/>
        </w:rPr>
        <w:t>------------------------------------------------------------------</w:t>
      </w:r>
    </w:p>
    <w:p w:rsidR="00436C80" w:rsidRDefault="00436C80">
      <w:pPr>
        <w:widowControl w:val="0"/>
        <w:autoSpaceDE w:val="0"/>
        <w:autoSpaceDN w:val="0"/>
        <w:adjustRightInd w:val="0"/>
        <w:spacing w:after="0" w:line="240" w:lineRule="auto"/>
        <w:rPr>
          <w:rFonts w:ascii="Arial" w:hAnsi="Arial" w:cs="Arial"/>
          <w:color w:val="000000"/>
          <w:kern w:val="0"/>
          <w:sz w:val="22"/>
          <w:szCs w:val="22"/>
        </w:rPr>
      </w:pPr>
      <w:bookmarkStart w:id="4" w:name="4"/>
      <w:bookmarkEnd w:id="4"/>
      <w:r>
        <w:rPr>
          <w:rFonts w:ascii="Arial" w:hAnsi="Arial" w:cs="Arial"/>
          <w:color w:val="000000"/>
          <w:kern w:val="0"/>
          <w:sz w:val="22"/>
          <w:szCs w:val="22"/>
        </w:rPr>
        <w:t> </w:t>
      </w:r>
    </w:p>
    <w:p w:rsidR="00436C80" w:rsidRDefault="00436C80">
      <w:pPr>
        <w:widowControl w:val="0"/>
        <w:autoSpaceDE w:val="0"/>
        <w:autoSpaceDN w:val="0"/>
        <w:adjustRightInd w:val="0"/>
        <w:spacing w:after="0" w:line="240" w:lineRule="auto"/>
        <w:jc w:val="center"/>
        <w:rPr>
          <w:rFonts w:ascii="Arial" w:hAnsi="Arial" w:cs="Arial"/>
          <w:b/>
          <w:bCs/>
          <w:color w:val="000000"/>
          <w:kern w:val="0"/>
          <w:sz w:val="22"/>
          <w:szCs w:val="22"/>
        </w:rPr>
      </w:pPr>
      <w:r>
        <w:rPr>
          <w:rFonts w:ascii="Arial" w:hAnsi="Arial" w:cs="Arial"/>
          <w:b/>
          <w:bCs/>
          <w:color w:val="000000"/>
          <w:kern w:val="0"/>
          <w:sz w:val="22"/>
          <w:szCs w:val="22"/>
        </w:rPr>
        <w:t>УКАЗ ПРЕЗИДЕНТА РЕСПУБЛИКИ БЕЛАРУСЬ</w:t>
      </w:r>
    </w:p>
    <w:p w:rsidR="00436C80" w:rsidRDefault="00436C80">
      <w:pPr>
        <w:widowControl w:val="0"/>
        <w:autoSpaceDE w:val="0"/>
        <w:autoSpaceDN w:val="0"/>
        <w:adjustRightInd w:val="0"/>
        <w:spacing w:after="0" w:line="240" w:lineRule="auto"/>
        <w:jc w:val="center"/>
        <w:rPr>
          <w:rFonts w:ascii="Arial" w:hAnsi="Arial" w:cs="Arial"/>
          <w:b/>
          <w:bCs/>
          <w:color w:val="000000"/>
          <w:kern w:val="0"/>
          <w:sz w:val="22"/>
          <w:szCs w:val="22"/>
        </w:rPr>
      </w:pPr>
      <w:r>
        <w:rPr>
          <w:rFonts w:ascii="Arial" w:hAnsi="Arial" w:cs="Arial"/>
          <w:b/>
          <w:bCs/>
          <w:color w:val="000000"/>
          <w:kern w:val="0"/>
          <w:sz w:val="22"/>
          <w:szCs w:val="22"/>
        </w:rPr>
        <w:t>21 февраля 2025 г. N 74</w:t>
      </w:r>
    </w:p>
    <w:p w:rsidR="00436C80" w:rsidRDefault="00436C80">
      <w:pPr>
        <w:widowControl w:val="0"/>
        <w:autoSpaceDE w:val="0"/>
        <w:autoSpaceDN w:val="0"/>
        <w:adjustRightInd w:val="0"/>
        <w:spacing w:after="0" w:line="240" w:lineRule="auto"/>
        <w:jc w:val="center"/>
        <w:rPr>
          <w:rFonts w:ascii="Arial" w:hAnsi="Arial" w:cs="Arial"/>
          <w:b/>
          <w:bCs/>
          <w:color w:val="000000"/>
          <w:kern w:val="0"/>
          <w:sz w:val="22"/>
          <w:szCs w:val="22"/>
        </w:rPr>
      </w:pPr>
      <w:r>
        <w:rPr>
          <w:rFonts w:ascii="Arial" w:hAnsi="Arial" w:cs="Arial"/>
          <w:b/>
          <w:bCs/>
          <w:color w:val="000000"/>
          <w:kern w:val="0"/>
          <w:sz w:val="22"/>
          <w:szCs w:val="22"/>
        </w:rPr>
        <w:t> </w:t>
      </w:r>
    </w:p>
    <w:p w:rsidR="00436C80" w:rsidRDefault="00436C80">
      <w:pPr>
        <w:widowControl w:val="0"/>
        <w:autoSpaceDE w:val="0"/>
        <w:autoSpaceDN w:val="0"/>
        <w:adjustRightInd w:val="0"/>
        <w:spacing w:after="0" w:line="240" w:lineRule="auto"/>
        <w:jc w:val="center"/>
        <w:rPr>
          <w:rFonts w:ascii="Arial" w:hAnsi="Arial" w:cs="Arial"/>
          <w:b/>
          <w:bCs/>
          <w:color w:val="000000"/>
          <w:kern w:val="0"/>
          <w:sz w:val="22"/>
          <w:szCs w:val="22"/>
        </w:rPr>
      </w:pPr>
      <w:r>
        <w:rPr>
          <w:rFonts w:ascii="Arial" w:hAnsi="Arial" w:cs="Arial"/>
          <w:b/>
          <w:bCs/>
          <w:color w:val="000000"/>
          <w:kern w:val="0"/>
          <w:sz w:val="22"/>
          <w:szCs w:val="22"/>
        </w:rPr>
        <w:t>ОБ УСИЛЕНИИ РОЛИ ПРЕДСЕДАТЕЛЕЙ ИСПОЛНИТЕЛЬНЫХ КОМИТЕТОВ БАЗОВОГО УРОВНЯ В РАЗВИТИИ РЕГИОНОВ</w:t>
      </w:r>
    </w:p>
    <w:p w:rsidR="00436C80" w:rsidRDefault="00436C80">
      <w:pPr>
        <w:widowControl w:val="0"/>
        <w:autoSpaceDE w:val="0"/>
        <w:autoSpaceDN w:val="0"/>
        <w:adjustRightInd w:val="0"/>
        <w:spacing w:after="0" w:line="240" w:lineRule="auto"/>
        <w:rPr>
          <w:rFonts w:ascii="Arial" w:hAnsi="Arial" w:cs="Arial"/>
          <w:color w:val="000000"/>
          <w:kern w:val="0"/>
          <w:sz w:val="22"/>
          <w:szCs w:val="22"/>
        </w:rPr>
      </w:pPr>
      <w:bookmarkStart w:id="5" w:name="6"/>
      <w:bookmarkEnd w:id="5"/>
      <w:r>
        <w:rPr>
          <w:rFonts w:ascii="Arial" w:hAnsi="Arial" w:cs="Arial"/>
          <w:color w:val="000000"/>
          <w:kern w:val="0"/>
          <w:sz w:val="22"/>
          <w:szCs w:val="22"/>
        </w:rPr>
        <w:t> </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 w:name="7"/>
      <w:bookmarkEnd w:id="6"/>
      <w:r>
        <w:rPr>
          <w:rFonts w:ascii="Arial" w:hAnsi="Arial" w:cs="Arial"/>
          <w:color w:val="000000"/>
          <w:kern w:val="0"/>
          <w:sz w:val="22"/>
          <w:szCs w:val="22"/>
        </w:rPr>
        <w:t>В целях дальнейшего повышения эффективности деятельности органов местного управления, реализации мероприятий в рамках Года благоустройства в 2025 году, выполнения задач объявленной в 2025 - 2029 годах пятилетки качества, расширения полномочий председателей исполнительных комитетов (далее - исполкомы) базового уровня и усиления их ответственности за состояние дел в регионе ПОСТАНОВЛЯЮ:</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 w:name="8"/>
      <w:bookmarkEnd w:id="7"/>
      <w:r>
        <w:rPr>
          <w:rFonts w:ascii="Arial" w:hAnsi="Arial" w:cs="Arial"/>
          <w:color w:val="000000"/>
          <w:kern w:val="0"/>
          <w:sz w:val="22"/>
          <w:szCs w:val="22"/>
        </w:rPr>
        <w:t>1. Предоставить право:</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 w:name="9"/>
      <w:bookmarkEnd w:id="8"/>
      <w:r>
        <w:rPr>
          <w:rFonts w:ascii="Arial" w:hAnsi="Arial" w:cs="Arial"/>
          <w:color w:val="000000"/>
          <w:kern w:val="0"/>
          <w:sz w:val="22"/>
          <w:szCs w:val="22"/>
        </w:rPr>
        <w:t>1.1. председателям районных исполкомов:</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9" w:name="10"/>
      <w:bookmarkEnd w:id="9"/>
      <w:r>
        <w:rPr>
          <w:rFonts w:ascii="Arial" w:hAnsi="Arial" w:cs="Arial"/>
          <w:color w:val="000000"/>
          <w:kern w:val="0"/>
          <w:sz w:val="22"/>
          <w:szCs w:val="22"/>
        </w:rPr>
        <w:t>определять направления и объемы расходования остатков средств районного бюджета, образовавшихся на начало текущего финансового года, при условии отсутствия на 1 января этого года просроченной кредиторской задолженности данного бюджета, задолженности по платежам в вышестоящий бюджет, по обслуживанию и погашению долга органов местного управления и самоуправления с последующим утверждением изменений в показатели бюджета решением районного Совета депутатов в установленном законодательством порядке. При этом районный бюджет исполняется в соответствующем финансовом году с превышением максимального размера дефицита (уменьшением минимального размера профицита), установленного в соответствии с законодательством, за счет использования остатков средств районного бюджета, образовавшихся на начало текущего финансового года;</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0" w:name="11"/>
      <w:bookmarkEnd w:id="10"/>
      <w:r>
        <w:rPr>
          <w:rFonts w:ascii="Arial" w:hAnsi="Arial" w:cs="Arial"/>
          <w:color w:val="000000"/>
          <w:kern w:val="0"/>
          <w:sz w:val="22"/>
          <w:szCs w:val="22"/>
        </w:rPr>
        <w:t>распоряжаться средствами резервного фонда исполкома с направлением их на цели, определенные бюджетным законодательством для таких фондов. При этом распоряжение председателя районного исполкома является основанием для внесения изменений в показатели районного бюджета;</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1" w:name="12"/>
      <w:bookmarkEnd w:id="11"/>
      <w:r>
        <w:rPr>
          <w:rFonts w:ascii="Arial" w:hAnsi="Arial" w:cs="Arial"/>
          <w:color w:val="000000"/>
          <w:kern w:val="0"/>
          <w:sz w:val="22"/>
          <w:szCs w:val="22"/>
        </w:rPr>
        <w:t>1.2. председателям исполкомов базового уровня:</w:t>
      </w:r>
    </w:p>
    <w:p w:rsidR="00436C80" w:rsidRDefault="00436C80">
      <w:pPr>
        <w:widowControl w:val="0"/>
        <w:autoSpaceDE w:val="0"/>
        <w:autoSpaceDN w:val="0"/>
        <w:adjustRightInd w:val="0"/>
        <w:spacing w:after="0" w:line="240" w:lineRule="auto"/>
        <w:rPr>
          <w:rFonts w:ascii="Arial" w:hAnsi="Arial" w:cs="Arial"/>
          <w:color w:val="000000"/>
          <w:kern w:val="0"/>
          <w:sz w:val="22"/>
          <w:szCs w:val="22"/>
        </w:rPr>
      </w:pPr>
      <w:r>
        <w:rPr>
          <w:rFonts w:ascii="Arial" w:hAnsi="Arial" w:cs="Arial"/>
          <w:color w:val="000000"/>
          <w:kern w:val="0"/>
          <w:sz w:val="22"/>
          <w:szCs w:val="22"/>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436C8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436C80" w:rsidRDefault="00436C80">
            <w:pPr>
              <w:widowControl w:val="0"/>
              <w:autoSpaceDE w:val="0"/>
              <w:autoSpaceDN w:val="0"/>
              <w:adjustRightInd w:val="0"/>
              <w:spacing w:after="0" w:line="240" w:lineRule="auto"/>
              <w:jc w:val="both"/>
              <w:rPr>
                <w:rFonts w:ascii="Arial" w:hAnsi="Arial" w:cs="Arial"/>
                <w:color w:val="392C69"/>
                <w:kern w:val="0"/>
                <w:sz w:val="22"/>
                <w:szCs w:val="22"/>
              </w:rPr>
            </w:pPr>
            <w:r>
              <w:rPr>
                <w:rFonts w:ascii="Arial" w:hAnsi="Arial" w:cs="Arial"/>
                <w:color w:val="392C69"/>
                <w:kern w:val="0"/>
                <w:sz w:val="22"/>
                <w:szCs w:val="22"/>
              </w:rPr>
              <w:t>Абзац второй подпункта 1.2 действует до 28 февраля 2027 года (часть вторая пункта 14 данного документа).</w:t>
            </w:r>
          </w:p>
        </w:tc>
      </w:tr>
    </w:tbl>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2" w:name="13"/>
      <w:bookmarkEnd w:id="12"/>
      <w:r>
        <w:rPr>
          <w:rFonts w:ascii="Arial" w:hAnsi="Arial" w:cs="Arial"/>
          <w:color w:val="000000"/>
          <w:kern w:val="0"/>
          <w:sz w:val="22"/>
          <w:szCs w:val="22"/>
        </w:rPr>
        <w:t>принимать решения, предусматривающие право осуществлять государственные закупки товаров (работ, услуг, в том числе услуг заказчика (застройщика) в строительной деятельности) при строительстве объектов, включенных в инвестиционную программу города, района, с применением процедуры закупки из одного источника у организаций, имущество или более 25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3" w:name="14"/>
      <w:bookmarkEnd w:id="13"/>
      <w:r>
        <w:rPr>
          <w:rFonts w:ascii="Arial" w:hAnsi="Arial" w:cs="Arial"/>
          <w:color w:val="000000"/>
          <w:kern w:val="0"/>
          <w:sz w:val="22"/>
          <w:szCs w:val="22"/>
        </w:rPr>
        <w:t>привлекать юридических лиц, индивидуальных предпринимателей и граждан к выполнению собственными силами и (или) за счет собственных средств работ по поддержанию надлежащего санитарного состояния, благоустройству и содержанию территорий земель общего пользования населенных пунктов, в том числе территорий, прилегающих к предоставленным им (находящимся у них) земельным участкам;</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4" w:name="15"/>
      <w:bookmarkEnd w:id="14"/>
      <w:r>
        <w:rPr>
          <w:rFonts w:ascii="Arial" w:hAnsi="Arial" w:cs="Arial"/>
          <w:color w:val="000000"/>
          <w:kern w:val="0"/>
          <w:sz w:val="22"/>
          <w:szCs w:val="22"/>
        </w:rPr>
        <w:t>1.3. областным, районным, городским (городов областного подчинения) исполкомам вносить в процессе исполнения соответствующего бюджета изменения в расходы данного бюджета по функциональной классификации расходов бюджета в пределах утвержденного годового размера;</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5" w:name="16"/>
      <w:bookmarkEnd w:id="15"/>
      <w:r>
        <w:rPr>
          <w:rFonts w:ascii="Arial" w:hAnsi="Arial" w:cs="Arial"/>
          <w:color w:val="000000"/>
          <w:kern w:val="0"/>
          <w:sz w:val="22"/>
          <w:szCs w:val="22"/>
        </w:rPr>
        <w:t>1.4. районным Советам депутатов увеличивать объемы создаваемых в соответствии с законодательными актами резервных фондов районных исполкомов до 2 процентов собственных доходов местных бюджетов без учета доходов государственных целевых бюджетных фондов.</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6" w:name="17"/>
      <w:bookmarkEnd w:id="16"/>
      <w:r>
        <w:rPr>
          <w:rFonts w:ascii="Arial" w:hAnsi="Arial" w:cs="Arial"/>
          <w:color w:val="000000"/>
          <w:kern w:val="0"/>
          <w:sz w:val="22"/>
          <w:szCs w:val="22"/>
        </w:rPr>
        <w:lastRenderedPageBreak/>
        <w:t>2. Наделить исполкомы базового уровня полномочиями принимать решения, разрешающие:</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7" w:name="18"/>
      <w:bookmarkEnd w:id="17"/>
      <w:r>
        <w:rPr>
          <w:rFonts w:ascii="Arial" w:hAnsi="Arial" w:cs="Arial"/>
          <w:color w:val="000000"/>
          <w:kern w:val="0"/>
          <w:sz w:val="22"/>
          <w:szCs w:val="22"/>
        </w:rPr>
        <w:t>2.1. снос (в том числе без разработки проектной документации, если это не создаст угрозу жизни и здоровью граждан) полностью или частично за счет средств местного бюджета находящихся в аварийном состоянии или грозящих обвалом &lt;*&gt;:</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8" w:name="19"/>
      <w:bookmarkEnd w:id="18"/>
      <w:r>
        <w:rPr>
          <w:rFonts w:ascii="Arial" w:hAnsi="Arial" w:cs="Arial"/>
          <w:color w:val="000000"/>
          <w:kern w:val="0"/>
          <w:sz w:val="22"/>
          <w:szCs w:val="22"/>
        </w:rPr>
        <w:t>капитальных строений (зданий, сооружений), являющихся коммунальной собственностью соответствующей административно-территориальной единицы;</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19" w:name="20"/>
      <w:bookmarkEnd w:id="19"/>
      <w:r>
        <w:rPr>
          <w:rFonts w:ascii="Arial" w:hAnsi="Arial" w:cs="Arial"/>
          <w:color w:val="000000"/>
          <w:kern w:val="0"/>
          <w:sz w:val="22"/>
          <w:szCs w:val="22"/>
        </w:rPr>
        <w:t>объектов незавершенного строительства, которые возводились за счет средств бюджетов всех уровней и (или) средств организации, имущество или более 50 процентов акций (долей в уставном фонде) которой находится в коммунальной собственности;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0" w:name="21"/>
      <w:bookmarkEnd w:id="20"/>
      <w:r>
        <w:rPr>
          <w:rFonts w:ascii="Arial" w:hAnsi="Arial" w:cs="Arial"/>
          <w:color w:val="000000"/>
          <w:kern w:val="0"/>
          <w:sz w:val="22"/>
          <w:szCs w:val="22"/>
        </w:rPr>
        <w:t>--------------------------------</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1" w:name="22"/>
      <w:bookmarkEnd w:id="21"/>
      <w:r>
        <w:rPr>
          <w:rFonts w:ascii="Arial" w:hAnsi="Arial" w:cs="Arial"/>
          <w:color w:val="000000"/>
          <w:kern w:val="0"/>
          <w:sz w:val="22"/>
          <w:szCs w:val="22"/>
        </w:rPr>
        <w:t>&lt;*&gt; Для целей настоящего Указа под аварийным состоянием или состоянием, грозящим обвалом капитального строения (здания, сооружения), объекта незавершенного строительства, понимается состояние, при котором имеются серьезные трещины в стенах, отклонения от вертикали, искривления горизонтальных линий фасадов, другие значительные деформации либо повреждения стен и (или) иных основных конструктивных элементов (крыши, междуэтажных перекрытий и другого), создающие угрозу жизни и здоровью граждан, причинения вреда окружающей среде и (или) разрушения капитального строения (здания, сооружения), объекта незавершенного строительства, в том числе в результате чрезвычайных обстоятельств (пожар, стихийное бедствие и другое).</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2" w:name="101"/>
      <w:bookmarkEnd w:id="22"/>
      <w:r>
        <w:rPr>
          <w:rFonts w:ascii="Arial" w:hAnsi="Arial" w:cs="Arial"/>
          <w:color w:val="000000"/>
          <w:kern w:val="0"/>
          <w:sz w:val="22"/>
          <w:szCs w:val="22"/>
        </w:rPr>
        <w:t> </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3" w:name="23"/>
      <w:bookmarkEnd w:id="23"/>
      <w:r>
        <w:rPr>
          <w:rFonts w:ascii="Arial" w:hAnsi="Arial" w:cs="Arial"/>
          <w:color w:val="000000"/>
          <w:kern w:val="0"/>
          <w:sz w:val="22"/>
          <w:szCs w:val="22"/>
        </w:rPr>
        <w:t>2.2. организациям и индивидуальным предпринимателям, имеющим внутрихозяйственные карьеры, реализовывать добытые из них общераспространенные полезные ископаемые:</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4" w:name="24"/>
      <w:bookmarkEnd w:id="24"/>
      <w:r>
        <w:rPr>
          <w:rFonts w:ascii="Arial" w:hAnsi="Arial" w:cs="Arial"/>
          <w:color w:val="000000"/>
          <w:kern w:val="0"/>
          <w:sz w:val="22"/>
          <w:szCs w:val="22"/>
        </w:rPr>
        <w:t>иным организациям и индивидуальным предпринимателям - в определенных исполкомом случаях для благоустройства и содержания территорий, кладбищ, строительства и содержания сельскохозяйственных объектов;</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5" w:name="25"/>
      <w:bookmarkEnd w:id="25"/>
      <w:r>
        <w:rPr>
          <w:rFonts w:ascii="Arial" w:hAnsi="Arial" w:cs="Arial"/>
          <w:color w:val="000000"/>
          <w:kern w:val="0"/>
          <w:sz w:val="22"/>
          <w:szCs w:val="22"/>
        </w:rPr>
        <w:t>гражданам, проживающим в сельских населенных пунктах, - в целях использования для собственных нужд.</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6" w:name="26"/>
      <w:bookmarkEnd w:id="26"/>
      <w:r>
        <w:rPr>
          <w:rFonts w:ascii="Arial" w:hAnsi="Arial" w:cs="Arial"/>
          <w:color w:val="000000"/>
          <w:kern w:val="0"/>
          <w:sz w:val="22"/>
          <w:szCs w:val="22"/>
        </w:rPr>
        <w:t>Реализация общераспространенных полезных ископаемых в соответствии с частью первой настоящего подпункта осуществляется:</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7" w:name="27"/>
      <w:bookmarkEnd w:id="27"/>
      <w:r>
        <w:rPr>
          <w:rFonts w:ascii="Arial" w:hAnsi="Arial" w:cs="Arial"/>
          <w:color w:val="000000"/>
          <w:kern w:val="0"/>
          <w:sz w:val="22"/>
          <w:szCs w:val="22"/>
        </w:rPr>
        <w:t>в объемах, необходимых исключительно для использования в заявленных целях;</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8" w:name="28"/>
      <w:bookmarkEnd w:id="28"/>
      <w:r>
        <w:rPr>
          <w:rFonts w:ascii="Arial" w:hAnsi="Arial" w:cs="Arial"/>
          <w:color w:val="000000"/>
          <w:kern w:val="0"/>
          <w:sz w:val="22"/>
          <w:szCs w:val="22"/>
        </w:rPr>
        <w:t>по ценам, не превышающим предельных максимальных цен реализации таких ископаемых, устанавливаемых соответствующими облисполкомами.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29" w:name="29"/>
      <w:bookmarkEnd w:id="29"/>
      <w:r>
        <w:rPr>
          <w:rFonts w:ascii="Arial" w:hAnsi="Arial" w:cs="Arial"/>
          <w:color w:val="000000"/>
          <w:kern w:val="0"/>
          <w:sz w:val="22"/>
          <w:szCs w:val="22"/>
        </w:rPr>
        <w:t>3. Установить, что:</w:t>
      </w:r>
    </w:p>
    <w:p w:rsidR="00436C80" w:rsidRDefault="00436C80">
      <w:pPr>
        <w:widowControl w:val="0"/>
        <w:autoSpaceDE w:val="0"/>
        <w:autoSpaceDN w:val="0"/>
        <w:adjustRightInd w:val="0"/>
        <w:spacing w:after="0" w:line="240" w:lineRule="auto"/>
        <w:rPr>
          <w:rFonts w:ascii="Arial" w:hAnsi="Arial" w:cs="Arial"/>
          <w:color w:val="000000"/>
          <w:kern w:val="0"/>
          <w:sz w:val="22"/>
          <w:szCs w:val="22"/>
        </w:rPr>
      </w:pPr>
      <w:r>
        <w:rPr>
          <w:rFonts w:ascii="Arial" w:hAnsi="Arial" w:cs="Arial"/>
          <w:color w:val="000000"/>
          <w:kern w:val="0"/>
          <w:sz w:val="22"/>
          <w:szCs w:val="22"/>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436C8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436C80" w:rsidRDefault="00436C80">
            <w:pPr>
              <w:widowControl w:val="0"/>
              <w:autoSpaceDE w:val="0"/>
              <w:autoSpaceDN w:val="0"/>
              <w:adjustRightInd w:val="0"/>
              <w:spacing w:after="0" w:line="240" w:lineRule="auto"/>
              <w:jc w:val="both"/>
              <w:rPr>
                <w:rFonts w:ascii="Arial" w:hAnsi="Arial" w:cs="Arial"/>
                <w:color w:val="392C69"/>
                <w:kern w:val="0"/>
                <w:sz w:val="22"/>
                <w:szCs w:val="22"/>
              </w:rPr>
            </w:pPr>
            <w:r>
              <w:rPr>
                <w:rFonts w:ascii="Arial" w:hAnsi="Arial" w:cs="Arial"/>
                <w:color w:val="392C69"/>
                <w:kern w:val="0"/>
                <w:sz w:val="22"/>
                <w:szCs w:val="22"/>
              </w:rPr>
              <w:t>Действие подпункта 3.1 распространяется на правоотношения, возникающие при назначении на должность (освобождении от должности, продлении, расторжении трудовых договоров (контрактов) после вступления данного подпункта в силу (часть третья пункта 14 данного документа).</w:t>
            </w:r>
          </w:p>
        </w:tc>
      </w:tr>
    </w:tbl>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0" w:name="30"/>
      <w:bookmarkEnd w:id="30"/>
      <w:r>
        <w:rPr>
          <w:rFonts w:ascii="Arial" w:hAnsi="Arial" w:cs="Arial"/>
          <w:color w:val="000000"/>
          <w:kern w:val="0"/>
          <w:sz w:val="22"/>
          <w:szCs w:val="22"/>
        </w:rPr>
        <w:t>3.1. председатели районных, городских (городов областного подчинения) исполкомов осуществляют согласование кандидатур на должности (продление, расторжение трудовых договоров (контрактов):</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1" w:name="31"/>
      <w:bookmarkEnd w:id="31"/>
      <w:r>
        <w:rPr>
          <w:rFonts w:ascii="Arial" w:hAnsi="Arial" w:cs="Arial"/>
          <w:color w:val="000000"/>
          <w:kern w:val="0"/>
          <w:sz w:val="22"/>
          <w:szCs w:val="22"/>
        </w:rPr>
        <w:t>руководителей расположенных на соответствующей территории организаций, филиалов и иных обособленных подразделений организаций (их структурных подразделений) по перечню &lt;*&gt;, определяемому соответствующим исполкомом;</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2" w:name="32"/>
      <w:bookmarkEnd w:id="32"/>
      <w:r>
        <w:rPr>
          <w:rFonts w:ascii="Arial" w:hAnsi="Arial" w:cs="Arial"/>
          <w:color w:val="000000"/>
          <w:kern w:val="0"/>
          <w:sz w:val="22"/>
          <w:szCs w:val="22"/>
        </w:rPr>
        <w:t>заместителей руководителей организаций, имущество которых находится в коммунальной собственности соответствующего района, города, по перечню, определяемому председателем исполкома базового уровня;</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3" w:name="33"/>
      <w:bookmarkEnd w:id="33"/>
      <w:r>
        <w:rPr>
          <w:rFonts w:ascii="Arial" w:hAnsi="Arial" w:cs="Arial"/>
          <w:color w:val="000000"/>
          <w:kern w:val="0"/>
          <w:sz w:val="22"/>
          <w:szCs w:val="22"/>
        </w:rPr>
        <w:t>главных специалистов &lt;**&gt; расположенных на соответствующей территории сельскохозяйственных организаций по перечню, определяемому председателем исполкома базового уровня;</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4" w:name="34"/>
      <w:bookmarkEnd w:id="34"/>
      <w:r>
        <w:rPr>
          <w:rFonts w:ascii="Arial" w:hAnsi="Arial" w:cs="Arial"/>
          <w:color w:val="000000"/>
          <w:kern w:val="0"/>
          <w:sz w:val="22"/>
          <w:szCs w:val="22"/>
        </w:rPr>
        <w:t>--------------------------------</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5" w:name="35"/>
      <w:bookmarkEnd w:id="35"/>
      <w:r>
        <w:rPr>
          <w:rFonts w:ascii="Arial" w:hAnsi="Arial" w:cs="Arial"/>
          <w:color w:val="000000"/>
          <w:kern w:val="0"/>
          <w:sz w:val="22"/>
          <w:szCs w:val="22"/>
        </w:rPr>
        <w:t>&lt;*&gt;</w:t>
      </w:r>
      <w:r>
        <w:rPr>
          <w:rFonts w:ascii="Arial" w:hAnsi="Arial" w:cs="Arial"/>
          <w:color w:val="000000"/>
          <w:kern w:val="0"/>
          <w:sz w:val="20"/>
          <w:szCs w:val="20"/>
          <w:vertAlign w:val="superscript"/>
        </w:rPr>
        <w:t xml:space="preserve"> </w:t>
      </w:r>
      <w:r>
        <w:rPr>
          <w:rFonts w:ascii="Arial" w:hAnsi="Arial" w:cs="Arial"/>
          <w:color w:val="000000"/>
          <w:kern w:val="0"/>
          <w:sz w:val="22"/>
          <w:szCs w:val="22"/>
        </w:rPr>
        <w:t>Должности руководителей организаций, являющихся единственным собственником имущества организации, в перечни не включаются.</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6" w:name="36"/>
      <w:bookmarkEnd w:id="36"/>
      <w:r>
        <w:rPr>
          <w:rFonts w:ascii="Arial" w:hAnsi="Arial" w:cs="Arial"/>
          <w:color w:val="000000"/>
          <w:kern w:val="0"/>
          <w:sz w:val="22"/>
          <w:szCs w:val="22"/>
        </w:rPr>
        <w:lastRenderedPageBreak/>
        <w:t>&lt;**&gt;</w:t>
      </w:r>
      <w:r>
        <w:rPr>
          <w:rFonts w:ascii="Arial" w:hAnsi="Arial" w:cs="Arial"/>
          <w:color w:val="000000"/>
          <w:kern w:val="0"/>
          <w:sz w:val="20"/>
          <w:szCs w:val="20"/>
          <w:vertAlign w:val="superscript"/>
        </w:rPr>
        <w:t xml:space="preserve"> </w:t>
      </w:r>
      <w:r>
        <w:rPr>
          <w:rFonts w:ascii="Arial" w:hAnsi="Arial" w:cs="Arial"/>
          <w:color w:val="000000"/>
          <w:kern w:val="0"/>
          <w:sz w:val="22"/>
          <w:szCs w:val="22"/>
        </w:rPr>
        <w:t>Для целей настоящего Указа под главным специалистом организации понимается работник, одновременно отвечающий следующим условиям:</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7" w:name="37"/>
      <w:bookmarkEnd w:id="37"/>
      <w:r>
        <w:rPr>
          <w:rFonts w:ascii="Arial" w:hAnsi="Arial" w:cs="Arial"/>
          <w:color w:val="000000"/>
          <w:kern w:val="0"/>
          <w:sz w:val="22"/>
          <w:szCs w:val="22"/>
        </w:rPr>
        <w:t>занимает в организации должность служащего, в наименовании которой содержится слово "главный" и которая относится к категории "руководители";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8" w:name="38"/>
      <w:bookmarkEnd w:id="38"/>
      <w:r>
        <w:rPr>
          <w:rFonts w:ascii="Arial" w:hAnsi="Arial" w:cs="Arial"/>
          <w:color w:val="000000"/>
          <w:kern w:val="0"/>
          <w:sz w:val="22"/>
          <w:szCs w:val="22"/>
        </w:rPr>
        <w:t>осуществляет руководство структурным подразделением (структурными подразделениями) и (или) работниками по определенному наименованием должности главного специалиста виду (направлению) деятельности;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39" w:name="39"/>
      <w:bookmarkEnd w:id="39"/>
      <w:r>
        <w:rPr>
          <w:rFonts w:ascii="Arial" w:hAnsi="Arial" w:cs="Arial"/>
          <w:color w:val="000000"/>
          <w:kern w:val="0"/>
          <w:sz w:val="22"/>
          <w:szCs w:val="22"/>
        </w:rPr>
        <w:t>непосредственно подчиняется руководителю (заместителю руководителя) организации.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0" w:name="104"/>
      <w:bookmarkEnd w:id="40"/>
      <w:r>
        <w:rPr>
          <w:rFonts w:ascii="Arial" w:hAnsi="Arial" w:cs="Arial"/>
          <w:color w:val="000000"/>
          <w:kern w:val="0"/>
          <w:sz w:val="22"/>
          <w:szCs w:val="22"/>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436C8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436C80" w:rsidRDefault="00436C80">
            <w:pPr>
              <w:widowControl w:val="0"/>
              <w:autoSpaceDE w:val="0"/>
              <w:autoSpaceDN w:val="0"/>
              <w:adjustRightInd w:val="0"/>
              <w:spacing w:after="0" w:line="240" w:lineRule="auto"/>
              <w:jc w:val="both"/>
              <w:rPr>
                <w:rFonts w:ascii="Arial" w:hAnsi="Arial" w:cs="Arial"/>
                <w:color w:val="392C69"/>
                <w:kern w:val="0"/>
                <w:sz w:val="22"/>
                <w:szCs w:val="22"/>
              </w:rPr>
            </w:pPr>
            <w:r>
              <w:rPr>
                <w:rFonts w:ascii="Arial" w:hAnsi="Arial" w:cs="Arial"/>
                <w:color w:val="392C69"/>
                <w:kern w:val="0"/>
                <w:sz w:val="22"/>
                <w:szCs w:val="22"/>
              </w:rPr>
              <w:t>Действие подпункта 3.2 распространяется на правоотношения, возникающие при назначении на должность (освобождении от должности, продлении, расторжении трудовых договоров (контрактов) после вступления данного подпункта в силу (часть третья пункта 14 данного документа).</w:t>
            </w:r>
          </w:p>
        </w:tc>
      </w:tr>
    </w:tbl>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1" w:name="40"/>
      <w:bookmarkEnd w:id="41"/>
      <w:r>
        <w:rPr>
          <w:rFonts w:ascii="Arial" w:hAnsi="Arial" w:cs="Arial"/>
          <w:color w:val="000000"/>
          <w:kern w:val="0"/>
          <w:sz w:val="22"/>
          <w:szCs w:val="22"/>
        </w:rPr>
        <w:t>3.2. районные, городские (городов областного подчинения) исполкомы согласовывают назначение на должности (освобождение от должностей) руководителей районных, городских, районных в городе территориальных органов государственных органов (кроме органов государственной безопасности), военного комиссара города, района;</w:t>
      </w:r>
    </w:p>
    <w:p w:rsidR="00436C80" w:rsidRDefault="00436C80">
      <w:pPr>
        <w:widowControl w:val="0"/>
        <w:autoSpaceDE w:val="0"/>
        <w:autoSpaceDN w:val="0"/>
        <w:adjustRightInd w:val="0"/>
        <w:spacing w:after="0" w:line="240" w:lineRule="auto"/>
        <w:rPr>
          <w:rFonts w:ascii="Arial" w:hAnsi="Arial" w:cs="Arial"/>
          <w:color w:val="000000"/>
          <w:kern w:val="0"/>
          <w:sz w:val="22"/>
          <w:szCs w:val="22"/>
        </w:rPr>
      </w:pPr>
      <w:r>
        <w:rPr>
          <w:rFonts w:ascii="Arial" w:hAnsi="Arial" w:cs="Arial"/>
          <w:color w:val="000000"/>
          <w:kern w:val="0"/>
          <w:sz w:val="22"/>
          <w:szCs w:val="22"/>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436C8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436C80" w:rsidRDefault="00436C80">
            <w:pPr>
              <w:widowControl w:val="0"/>
              <w:autoSpaceDE w:val="0"/>
              <w:autoSpaceDN w:val="0"/>
              <w:adjustRightInd w:val="0"/>
              <w:spacing w:after="0" w:line="240" w:lineRule="auto"/>
              <w:jc w:val="both"/>
              <w:rPr>
                <w:rFonts w:ascii="Arial" w:hAnsi="Arial" w:cs="Arial"/>
                <w:color w:val="392C69"/>
                <w:kern w:val="0"/>
                <w:sz w:val="22"/>
                <w:szCs w:val="22"/>
              </w:rPr>
            </w:pPr>
            <w:r>
              <w:rPr>
                <w:rFonts w:ascii="Arial" w:hAnsi="Arial" w:cs="Arial"/>
                <w:color w:val="392C69"/>
                <w:kern w:val="0"/>
                <w:sz w:val="22"/>
                <w:szCs w:val="22"/>
              </w:rPr>
              <w:t>Действие подпункта 3.3 распространяется на правоотношения, возникающие при назначении на должность (освобождении от должности, продлении, расторжении трудовых договоров (контрактов) после вступления данного подпункта в силу (часть третья пункта 14 данного документа).</w:t>
            </w:r>
          </w:p>
        </w:tc>
      </w:tr>
    </w:tbl>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2" w:name="41"/>
      <w:bookmarkEnd w:id="42"/>
      <w:r>
        <w:rPr>
          <w:rFonts w:ascii="Arial" w:hAnsi="Arial" w:cs="Arial"/>
          <w:color w:val="000000"/>
          <w:kern w:val="0"/>
          <w:sz w:val="22"/>
          <w:szCs w:val="22"/>
        </w:rPr>
        <w:t>3.3. областные исполкомы согласовывают назначение на должности (освобождение от должностей) руководителей межрайонных территориальных органов государственных органов (кроме органов государственной безопасности);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3" w:name="42"/>
      <w:bookmarkEnd w:id="43"/>
      <w:r>
        <w:rPr>
          <w:rFonts w:ascii="Arial" w:hAnsi="Arial" w:cs="Arial"/>
          <w:color w:val="000000"/>
          <w:kern w:val="0"/>
          <w:sz w:val="22"/>
          <w:szCs w:val="22"/>
        </w:rPr>
        <w:t>3.4. согласование внесенных в установленном порядке предложений о назначении на должности (освобождении от должностей, продлении, расторжении трудовых договоров (контрактов), предусмотренное настоящим пунктом, осуществляется не позднее 10 рабочих дней со дня поступления соответствующих материалов, если иное не установлено законодательными актами;</w:t>
      </w:r>
    </w:p>
    <w:p w:rsidR="00436C80" w:rsidRDefault="00436C80">
      <w:pPr>
        <w:widowControl w:val="0"/>
        <w:autoSpaceDE w:val="0"/>
        <w:autoSpaceDN w:val="0"/>
        <w:adjustRightInd w:val="0"/>
        <w:spacing w:after="0" w:line="240" w:lineRule="auto"/>
        <w:rPr>
          <w:rFonts w:ascii="Arial" w:hAnsi="Arial" w:cs="Arial"/>
          <w:color w:val="000000"/>
          <w:kern w:val="0"/>
          <w:sz w:val="22"/>
          <w:szCs w:val="22"/>
        </w:rPr>
      </w:pPr>
      <w:r>
        <w:rPr>
          <w:rFonts w:ascii="Arial" w:hAnsi="Arial" w:cs="Arial"/>
          <w:color w:val="000000"/>
          <w:kern w:val="0"/>
          <w:sz w:val="22"/>
          <w:szCs w:val="22"/>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436C8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436C80" w:rsidRDefault="00436C80">
            <w:pPr>
              <w:widowControl w:val="0"/>
              <w:autoSpaceDE w:val="0"/>
              <w:autoSpaceDN w:val="0"/>
              <w:adjustRightInd w:val="0"/>
              <w:spacing w:after="0" w:line="240" w:lineRule="auto"/>
              <w:rPr>
                <w:rFonts w:ascii="Arial" w:hAnsi="Arial" w:cs="Arial"/>
                <w:color w:val="392C69"/>
                <w:kern w:val="0"/>
                <w:sz w:val="22"/>
                <w:szCs w:val="22"/>
              </w:rPr>
            </w:pPr>
            <w:r>
              <w:rPr>
                <w:rFonts w:ascii="Arial" w:hAnsi="Arial" w:cs="Arial"/>
                <w:color w:val="392C69"/>
                <w:kern w:val="0"/>
                <w:sz w:val="22"/>
                <w:szCs w:val="22"/>
              </w:rPr>
              <w:t>КонсультантПлюс: примечание.</w:t>
            </w:r>
          </w:p>
          <w:p w:rsidR="00436C80" w:rsidRDefault="00436C80">
            <w:pPr>
              <w:widowControl w:val="0"/>
              <w:autoSpaceDE w:val="0"/>
              <w:autoSpaceDN w:val="0"/>
              <w:adjustRightInd w:val="0"/>
              <w:spacing w:after="0" w:line="240" w:lineRule="auto"/>
              <w:rPr>
                <w:rFonts w:ascii="Arial" w:hAnsi="Arial" w:cs="Arial"/>
                <w:color w:val="392C69"/>
                <w:kern w:val="0"/>
                <w:sz w:val="22"/>
                <w:szCs w:val="22"/>
              </w:rPr>
            </w:pPr>
            <w:r>
              <w:rPr>
                <w:rFonts w:ascii="Arial" w:hAnsi="Arial" w:cs="Arial"/>
                <w:color w:val="392C69"/>
                <w:kern w:val="0"/>
                <w:sz w:val="22"/>
                <w:szCs w:val="22"/>
              </w:rPr>
              <w:t>Подтверждение факта работы застрахованного лица на основе информации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размещено на сайте https://e-pasluga.by/.</w:t>
            </w:r>
          </w:p>
        </w:tc>
      </w:tr>
    </w:tbl>
    <w:p w:rsidR="00436C80" w:rsidRDefault="00436C80">
      <w:pPr>
        <w:widowControl w:val="0"/>
        <w:autoSpaceDE w:val="0"/>
        <w:autoSpaceDN w:val="0"/>
        <w:adjustRightInd w:val="0"/>
        <w:spacing w:after="0" w:line="240" w:lineRule="auto"/>
        <w:rPr>
          <w:rFonts w:ascii="Arial" w:hAnsi="Arial" w:cs="Arial"/>
          <w:color w:val="000000"/>
          <w:kern w:val="0"/>
          <w:sz w:val="22"/>
          <w:szCs w:val="22"/>
        </w:rPr>
      </w:pPr>
      <w:r>
        <w:rPr>
          <w:rFonts w:ascii="Arial" w:hAnsi="Arial" w:cs="Arial"/>
          <w:color w:val="000000"/>
          <w:kern w:val="0"/>
          <w:sz w:val="22"/>
          <w:szCs w:val="22"/>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436C8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436C80" w:rsidRDefault="00436C80">
            <w:pPr>
              <w:widowControl w:val="0"/>
              <w:autoSpaceDE w:val="0"/>
              <w:autoSpaceDN w:val="0"/>
              <w:adjustRightInd w:val="0"/>
              <w:spacing w:after="0" w:line="240" w:lineRule="auto"/>
              <w:jc w:val="both"/>
              <w:rPr>
                <w:rFonts w:ascii="Arial" w:hAnsi="Arial" w:cs="Arial"/>
                <w:color w:val="392C69"/>
                <w:kern w:val="0"/>
                <w:sz w:val="22"/>
                <w:szCs w:val="22"/>
              </w:rPr>
            </w:pPr>
            <w:r>
              <w:rPr>
                <w:rFonts w:ascii="Arial" w:hAnsi="Arial" w:cs="Arial"/>
                <w:color w:val="392C69"/>
                <w:kern w:val="0"/>
                <w:sz w:val="22"/>
                <w:szCs w:val="22"/>
              </w:rPr>
              <w:t>Подпункт 3.5 вступает в силу с 1 августа 2025 года (часть первая пункта 14 данного документа).</w:t>
            </w:r>
          </w:p>
        </w:tc>
      </w:tr>
    </w:tbl>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4" w:name="43"/>
      <w:bookmarkEnd w:id="44"/>
      <w:r>
        <w:rPr>
          <w:rFonts w:ascii="Arial" w:hAnsi="Arial" w:cs="Arial"/>
          <w:color w:val="000000"/>
          <w:kern w:val="0"/>
          <w:sz w:val="22"/>
          <w:szCs w:val="22"/>
        </w:rPr>
        <w:t>3.5. сведения (в том числе персональные данные физических лиц без их согласия)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необходимые для выполнения целей и задач в области государственной кадровой политики, предоставляются Фондом социальной защиты населения Министерства труда и социальной защиты исполкомам базового уровня на безвозмездной основе посредством общегосударственной автоматизированной информационной системы на основании договоров;</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5" w:name="44"/>
      <w:bookmarkEnd w:id="45"/>
      <w:r>
        <w:rPr>
          <w:rFonts w:ascii="Arial" w:hAnsi="Arial" w:cs="Arial"/>
          <w:color w:val="000000"/>
          <w:kern w:val="0"/>
          <w:sz w:val="22"/>
          <w:szCs w:val="22"/>
        </w:rPr>
        <w:t>3.6. прокурорский работник прокуратуры города, района, межрайонной прокуратуры по приглашению председателя исполкома базового уровня участвует в заседаниях соответствующего исполкома с правом совещательного голоса.</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6" w:name="45"/>
      <w:bookmarkEnd w:id="46"/>
      <w:r>
        <w:rPr>
          <w:rFonts w:ascii="Arial" w:hAnsi="Arial" w:cs="Arial"/>
          <w:color w:val="000000"/>
          <w:kern w:val="0"/>
          <w:sz w:val="22"/>
          <w:szCs w:val="22"/>
        </w:rPr>
        <w:t xml:space="preserve">4. Областные исполкомы вправе делегировать городским (городов областного </w:t>
      </w:r>
      <w:r>
        <w:rPr>
          <w:rFonts w:ascii="Arial" w:hAnsi="Arial" w:cs="Arial"/>
          <w:color w:val="000000"/>
          <w:kern w:val="0"/>
          <w:sz w:val="22"/>
          <w:szCs w:val="22"/>
        </w:rPr>
        <w:lastRenderedPageBreak/>
        <w:t>подчинения), районным исполкомам право на принятие в отношении земель, расположенных в границах областных центров, городов областного подчинения, свободных экономических зон и за границами населенных пунктов, решений, не требующих согласования с Президентом Республики Беларусь:</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7" w:name="46"/>
      <w:bookmarkEnd w:id="47"/>
      <w:r>
        <w:rPr>
          <w:rFonts w:ascii="Arial" w:hAnsi="Arial" w:cs="Arial"/>
          <w:color w:val="000000"/>
          <w:kern w:val="0"/>
          <w:sz w:val="22"/>
          <w:szCs w:val="22"/>
        </w:rPr>
        <w:t>о предоставлении дополнительного земельного участка при самовольном занятии части земельного участка;</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8" w:name="47"/>
      <w:bookmarkEnd w:id="48"/>
      <w:r>
        <w:rPr>
          <w:rFonts w:ascii="Arial" w:hAnsi="Arial" w:cs="Arial"/>
          <w:color w:val="000000"/>
          <w:kern w:val="0"/>
          <w:sz w:val="22"/>
          <w:szCs w:val="22"/>
        </w:rPr>
        <w:t>об изменении целевого назначения земельного участка при несоблюдении целевого назначения предоставленного земельного участка;</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49" w:name="48"/>
      <w:bookmarkEnd w:id="49"/>
      <w:r>
        <w:rPr>
          <w:rFonts w:ascii="Arial" w:hAnsi="Arial" w:cs="Arial"/>
          <w:color w:val="000000"/>
          <w:kern w:val="0"/>
          <w:sz w:val="22"/>
          <w:szCs w:val="22"/>
        </w:rPr>
        <w:t>о сохранении права на земельный участок, ранее предоставленный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0" w:name="49"/>
      <w:bookmarkEnd w:id="50"/>
      <w:r>
        <w:rPr>
          <w:rFonts w:ascii="Arial" w:hAnsi="Arial" w:cs="Arial"/>
          <w:color w:val="000000"/>
          <w:kern w:val="0"/>
          <w:sz w:val="22"/>
          <w:szCs w:val="22"/>
        </w:rPr>
        <w:t>5. По согласованию с соответствующим городским (города областного подчинения), районным исполкомом принимаются решения &lt;*&gt;:</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1" w:name="50"/>
      <w:bookmarkEnd w:id="51"/>
      <w:r>
        <w:rPr>
          <w:rFonts w:ascii="Arial" w:hAnsi="Arial" w:cs="Arial"/>
          <w:color w:val="000000"/>
          <w:kern w:val="0"/>
          <w:sz w:val="22"/>
          <w:szCs w:val="22"/>
        </w:rPr>
        <w:t>уполномоченными субъектами - предусматривающие прекращение деятельности расположенных на территории городов областного подчинения, районов остановочных пунктов, объектов благоустройства, детских и спортивных площадок, автомобильных стоянок и парковок, велосипедных стоянок, объектов общественного питания, бытового обслуживания, почтовой связи, торговли, аптек, культурно-развлекательных объектов, отделений банков и банкоматов;</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2" w:name="51"/>
      <w:bookmarkEnd w:id="52"/>
      <w:r>
        <w:rPr>
          <w:rFonts w:ascii="Arial" w:hAnsi="Arial" w:cs="Arial"/>
          <w:color w:val="000000"/>
          <w:kern w:val="0"/>
          <w:sz w:val="22"/>
          <w:szCs w:val="22"/>
        </w:rPr>
        <w:t>организациями (должностными лицами), за исключением государственных органов (их должностных лиц), - предусматривающие приостановление деятельности расположенной на территории городов областного подчинения, районов организации, ее филиала (его структурного подразделения) или иного подразделения (его структурного подразделения) либо перевод более 25 процентов работников организации на неполное рабочее время, предоставление более 25 процентам работников отпуска без сохранения или с частичным сохранением заработной платы по инициативе нанимателя, а также в случае нахождения указанного количества работников в целодневном (целосменном) простое. Если такое решение принимает государственный орган (его должностное лицо), данный орган информирует об этом соответствующий исполком базового уровня не позднее чем в день принятия указанного решения.</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3" w:name="52"/>
      <w:bookmarkEnd w:id="53"/>
      <w:r>
        <w:rPr>
          <w:rFonts w:ascii="Arial" w:hAnsi="Arial" w:cs="Arial"/>
          <w:color w:val="000000"/>
          <w:kern w:val="0"/>
          <w:sz w:val="22"/>
          <w:szCs w:val="22"/>
        </w:rPr>
        <w:t>--------------------------------</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4" w:name="53"/>
      <w:bookmarkEnd w:id="54"/>
      <w:r>
        <w:rPr>
          <w:rFonts w:ascii="Arial" w:hAnsi="Arial" w:cs="Arial"/>
          <w:color w:val="000000"/>
          <w:kern w:val="0"/>
          <w:sz w:val="22"/>
          <w:szCs w:val="22"/>
        </w:rPr>
        <w:t>&lt;*&gt; Данная норма не распространяется на суды.</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5" w:name="102"/>
      <w:bookmarkEnd w:id="55"/>
      <w:r>
        <w:rPr>
          <w:rFonts w:ascii="Arial" w:hAnsi="Arial" w:cs="Arial"/>
          <w:color w:val="000000"/>
          <w:kern w:val="0"/>
          <w:sz w:val="22"/>
          <w:szCs w:val="22"/>
        </w:rPr>
        <w:t> </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6" w:name="54"/>
      <w:bookmarkEnd w:id="56"/>
      <w:r>
        <w:rPr>
          <w:rFonts w:ascii="Arial" w:hAnsi="Arial" w:cs="Arial"/>
          <w:color w:val="000000"/>
          <w:kern w:val="0"/>
          <w:sz w:val="22"/>
          <w:szCs w:val="22"/>
        </w:rPr>
        <w:t>6. Председатели исполкомов базового уровня в пределах компетенции: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7" w:name="55"/>
      <w:bookmarkEnd w:id="57"/>
      <w:r>
        <w:rPr>
          <w:rFonts w:ascii="Arial" w:hAnsi="Arial" w:cs="Arial"/>
          <w:color w:val="000000"/>
          <w:kern w:val="0"/>
          <w:sz w:val="22"/>
          <w:szCs w:val="22"/>
        </w:rPr>
        <w:t>издают распоряжения, обязательные для исполнения работниками соответствующего исполкома, нижестоящими исполнительными и распорядительными органами, расположенными на соответствующей территории организациями, их должностными лицами и иными гражданами, которым они адресованы;</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8" w:name="56"/>
      <w:bookmarkEnd w:id="58"/>
      <w:r>
        <w:rPr>
          <w:rFonts w:ascii="Arial" w:hAnsi="Arial" w:cs="Arial"/>
          <w:color w:val="000000"/>
          <w:kern w:val="0"/>
          <w:sz w:val="22"/>
          <w:szCs w:val="22"/>
        </w:rPr>
        <w:t>выносят письменные требования (предписания) руководителям нижестоящих местных исполнительных и распорядительных органов, расположенных на соответствующей территории иных организаций &lt;*&gt;, их филиалов (их структурных подразделений) или иных подразделений (их структурных подразделений):</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59" w:name="57"/>
      <w:bookmarkEnd w:id="59"/>
      <w:r>
        <w:rPr>
          <w:rFonts w:ascii="Arial" w:hAnsi="Arial" w:cs="Arial"/>
          <w:color w:val="000000"/>
          <w:kern w:val="0"/>
          <w:sz w:val="22"/>
          <w:szCs w:val="22"/>
        </w:rPr>
        <w:t>о привлечении к дисциплинарной ответственности работников таких органов и организаций;</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0" w:name="58"/>
      <w:bookmarkEnd w:id="60"/>
      <w:r>
        <w:rPr>
          <w:rFonts w:ascii="Arial" w:hAnsi="Arial" w:cs="Arial"/>
          <w:color w:val="000000"/>
          <w:kern w:val="0"/>
          <w:sz w:val="22"/>
          <w:szCs w:val="22"/>
        </w:rPr>
        <w:t>об устранении нарушений прав, свобод и (или) законных интересов граждан, нарушений требований законодательства в виде несоблюдения порядка назначения на должность, необеспечения здоровых и безопасных условий труда, служебной, производственно-технологической, исполнительской и трудовой дисциплины, промышленной, пожарной и радиационной безопасности, безопасности движения и эксплуатации транспорта, иных нарушений законодательства &lt;**&gt;.</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1" w:name="59"/>
      <w:bookmarkEnd w:id="61"/>
      <w:r>
        <w:rPr>
          <w:rFonts w:ascii="Arial" w:hAnsi="Arial" w:cs="Arial"/>
          <w:color w:val="000000"/>
          <w:kern w:val="0"/>
          <w:sz w:val="22"/>
          <w:szCs w:val="22"/>
        </w:rPr>
        <w:t>--------------------------------</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2" w:name="60"/>
      <w:bookmarkEnd w:id="62"/>
      <w:r>
        <w:rPr>
          <w:rFonts w:ascii="Arial" w:hAnsi="Arial" w:cs="Arial"/>
          <w:color w:val="000000"/>
          <w:kern w:val="0"/>
          <w:sz w:val="22"/>
          <w:szCs w:val="22"/>
        </w:rPr>
        <w:t>&lt;*&gt; За исключением государственных органов.</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3" w:name="61"/>
      <w:bookmarkEnd w:id="63"/>
      <w:r>
        <w:rPr>
          <w:rFonts w:ascii="Arial" w:hAnsi="Arial" w:cs="Arial"/>
          <w:color w:val="000000"/>
          <w:kern w:val="0"/>
          <w:sz w:val="22"/>
          <w:szCs w:val="22"/>
        </w:rPr>
        <w:t xml:space="preserve">&lt;**&gt; Данные полномочия не распространяются на отношения, являющиеся предметом регулирования гражданского, гражданского процессуального, хозяйственного, хозяйственного процессуального, уголовно-процессуального, уголовно-исполнительного законодательства, законодательства, определяющего порядок административного </w:t>
      </w:r>
      <w:r>
        <w:rPr>
          <w:rFonts w:ascii="Arial" w:hAnsi="Arial" w:cs="Arial"/>
          <w:color w:val="000000"/>
          <w:kern w:val="0"/>
          <w:sz w:val="22"/>
          <w:szCs w:val="22"/>
        </w:rPr>
        <w:lastRenderedPageBreak/>
        <w:t>процесса, законодательства об исполнительном производстве, об оперативно-розыскной деятельности.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4" w:name="103"/>
      <w:bookmarkEnd w:id="64"/>
      <w:r>
        <w:rPr>
          <w:rFonts w:ascii="Arial" w:hAnsi="Arial" w:cs="Arial"/>
          <w:color w:val="000000"/>
          <w:kern w:val="0"/>
          <w:sz w:val="22"/>
          <w:szCs w:val="22"/>
        </w:rPr>
        <w:t> </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5" w:name="62"/>
      <w:bookmarkEnd w:id="65"/>
      <w:r>
        <w:rPr>
          <w:rFonts w:ascii="Arial" w:hAnsi="Arial" w:cs="Arial"/>
          <w:color w:val="000000"/>
          <w:kern w:val="0"/>
          <w:sz w:val="22"/>
          <w:szCs w:val="22"/>
        </w:rPr>
        <w:t>7. Невыполнение принятых в пределах компетенции нормативных правовых актов исполнительных и распорядительных органов руководителями организаций, их филиалов (их структурных подразделений) или других подразделений (их структурных подразделений), расположенных на соответствующей территории, а также иными работниками при осуществлении должностных обязанностей является грубым нарушением трудовых обязанностей.</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6" w:name="63"/>
      <w:bookmarkEnd w:id="66"/>
      <w:r>
        <w:rPr>
          <w:rFonts w:ascii="Arial" w:hAnsi="Arial" w:cs="Arial"/>
          <w:color w:val="000000"/>
          <w:kern w:val="0"/>
          <w:sz w:val="22"/>
          <w:szCs w:val="22"/>
        </w:rPr>
        <w:t>Невыполнение письменных требований (предписаний) председателей исполкомов базового уровня влечет административную ответственность.</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7" w:name="64"/>
      <w:bookmarkEnd w:id="67"/>
      <w:r>
        <w:rPr>
          <w:rFonts w:ascii="Arial" w:hAnsi="Arial" w:cs="Arial"/>
          <w:color w:val="000000"/>
          <w:kern w:val="0"/>
          <w:sz w:val="22"/>
          <w:szCs w:val="22"/>
        </w:rPr>
        <w:t>Письменное требование (предписание) председателя исполкома базового уровня может быть обжаловано лицом, в отношении которого оно вынесено, в соответствующий областной исполком.</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8" w:name="65"/>
      <w:bookmarkEnd w:id="68"/>
      <w:r>
        <w:rPr>
          <w:rFonts w:ascii="Arial" w:hAnsi="Arial" w:cs="Arial"/>
          <w:color w:val="000000"/>
          <w:kern w:val="0"/>
          <w:sz w:val="22"/>
          <w:szCs w:val="22"/>
        </w:rPr>
        <w:t>8. Председатели исполкомов базового уровня несут персональную ответственность за издаваемые распоряжения, принимаемые решения о согласовании кандидатур на должности (продлении, расторжении трудовых договоров (контрактов), иные решения (поручения) и выносимые письменные требования (предписания).</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69" w:name="66"/>
      <w:bookmarkEnd w:id="69"/>
      <w:r>
        <w:rPr>
          <w:rFonts w:ascii="Arial" w:hAnsi="Arial" w:cs="Arial"/>
          <w:color w:val="000000"/>
          <w:kern w:val="0"/>
          <w:sz w:val="22"/>
          <w:szCs w:val="22"/>
        </w:rPr>
        <w:t>9. Областные, районные Советы депутатов вправе предусматривать дополнительные, помимо указанных в законодательных актах, случаи бесплатной перевозки детей, осваивающих содержание образовательных программ общего среднего, специального, дополнительного образования детей и молодежи или проходящих спортивную подготовку в учреждениях, расположенных на соответствующей территории.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0" w:name="67"/>
      <w:bookmarkEnd w:id="70"/>
      <w:r>
        <w:rPr>
          <w:rFonts w:ascii="Arial" w:hAnsi="Arial" w:cs="Arial"/>
          <w:color w:val="000000"/>
          <w:kern w:val="0"/>
          <w:sz w:val="22"/>
          <w:szCs w:val="22"/>
        </w:rPr>
        <w:t>10. Государственным служащим, занимавшим должности председателей исполкомов базового уровня, имеющим стаж работы в этих должностях менее 5 лет, назначается ежемесячное денежное содержание в порядке и размерах, установленных Указом Президента Республики Беларусь от 30 ноября 2006 г. N 705 "О ежемесячном денежном содержании отдельных категорий государственных служащих" для председателей исполкомов базового уровня, в связи:</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1" w:name="68"/>
      <w:bookmarkEnd w:id="71"/>
      <w:r>
        <w:rPr>
          <w:rFonts w:ascii="Arial" w:hAnsi="Arial" w:cs="Arial"/>
          <w:color w:val="000000"/>
          <w:kern w:val="0"/>
          <w:sz w:val="22"/>
          <w:szCs w:val="22"/>
        </w:rPr>
        <w:t>с назначением их на государственные должности, включенные в кадровый реестр Главы государства Республики Беларусь, не дающие право на ежемесячное денежное содержание, при совокупном стаже на таких должностях и должности председателя исполкома базового уровня не менее 5 лет;</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2" w:name="69"/>
      <w:bookmarkEnd w:id="72"/>
      <w:r>
        <w:rPr>
          <w:rFonts w:ascii="Arial" w:hAnsi="Arial" w:cs="Arial"/>
          <w:color w:val="000000"/>
          <w:kern w:val="0"/>
          <w:sz w:val="22"/>
          <w:szCs w:val="22"/>
        </w:rPr>
        <w:t>с осуществлением ими полномочий депутата Палаты представителей или члена Совета Республики Национального собрания Республики Беларусь на профессиональной основе, если период осуществления таких полномочий в совокупности со стажем на должности председателя исполкома базового уровня составляет не менее 5 лет.</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3" w:name="70"/>
      <w:bookmarkEnd w:id="73"/>
      <w:r>
        <w:rPr>
          <w:rFonts w:ascii="Arial" w:hAnsi="Arial" w:cs="Arial"/>
          <w:color w:val="000000"/>
          <w:kern w:val="0"/>
          <w:sz w:val="22"/>
          <w:szCs w:val="22"/>
        </w:rPr>
        <w:t>11. При выбытии находящегося в республиканской, коммунальной собственности, собственности организаций, имущество или более 50 процентов акций (долей в уставном фонде) которых находится в собственности Республики Беларусь и (или) ее административно-территориальных единиц, организаций потребительской кооперации имущества (кроме полученного в безвозмездное пользование) вследствие принятия решений о его сносе Президентом Республики Беларусь, Советом Министров Республики Беларусь, местными исполнительными и распорядительными органами организации вправе:</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4" w:name="71"/>
      <w:bookmarkEnd w:id="74"/>
      <w:r>
        <w:rPr>
          <w:rFonts w:ascii="Arial" w:hAnsi="Arial" w:cs="Arial"/>
          <w:color w:val="000000"/>
          <w:kern w:val="0"/>
          <w:sz w:val="22"/>
          <w:szCs w:val="22"/>
        </w:rPr>
        <w:t>не уменьшать чистую прибыль (не увеличивать убыток) отчетного периода;</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5" w:name="72"/>
      <w:bookmarkEnd w:id="75"/>
      <w:r>
        <w:rPr>
          <w:rFonts w:ascii="Arial" w:hAnsi="Arial" w:cs="Arial"/>
          <w:color w:val="000000"/>
          <w:kern w:val="0"/>
          <w:sz w:val="22"/>
          <w:szCs w:val="22"/>
        </w:rPr>
        <w:t>учитывать при налогообложении связанные со сносом расходы.</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6" w:name="73"/>
      <w:bookmarkEnd w:id="76"/>
      <w:r>
        <w:rPr>
          <w:rFonts w:ascii="Arial" w:hAnsi="Arial" w:cs="Arial"/>
          <w:color w:val="000000"/>
          <w:kern w:val="0"/>
          <w:sz w:val="22"/>
          <w:szCs w:val="22"/>
        </w:rPr>
        <w:t>При сносе имущества в соответствии с частью первой настоящего пункта относить остаточную стоимость имущества и расходы, связанные со сносом, за вычетом стоимости полученных при списании и принятых к бухгалтерскому учету материальных ценностей (при их наличии) за счет добавочного капитала в пределах его остатка и нераспределенной прибыли (непокрытого убытка) в оставшейся сумме.</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7" w:name="74"/>
      <w:bookmarkEnd w:id="77"/>
      <w:r>
        <w:rPr>
          <w:rFonts w:ascii="Arial" w:hAnsi="Arial" w:cs="Arial"/>
          <w:color w:val="000000"/>
          <w:kern w:val="0"/>
          <w:sz w:val="22"/>
          <w:szCs w:val="22"/>
        </w:rPr>
        <w:t>Стоимость полученных при списании и принятых к бухгалтерскому учету материальных ценностей в случае их безвозмездной передачи или реализации относить за счет добавочного капитала в пределах его остатка и нераспределенной прибыли (непокрытого убытка) в оставшейся сумме:</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8" w:name="75"/>
      <w:bookmarkEnd w:id="78"/>
      <w:r>
        <w:rPr>
          <w:rFonts w:ascii="Arial" w:hAnsi="Arial" w:cs="Arial"/>
          <w:color w:val="000000"/>
          <w:kern w:val="0"/>
          <w:sz w:val="22"/>
          <w:szCs w:val="22"/>
        </w:rPr>
        <w:t xml:space="preserve">при безвозмездной передаче - стоимость материальных ценностей и сумму </w:t>
      </w:r>
      <w:r>
        <w:rPr>
          <w:rFonts w:ascii="Arial" w:hAnsi="Arial" w:cs="Arial"/>
          <w:color w:val="000000"/>
          <w:kern w:val="0"/>
          <w:sz w:val="22"/>
          <w:szCs w:val="22"/>
        </w:rPr>
        <w:lastRenderedPageBreak/>
        <w:t>расходов, связанных с их передачей;</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79" w:name="76"/>
      <w:bookmarkEnd w:id="79"/>
      <w:r>
        <w:rPr>
          <w:rFonts w:ascii="Arial" w:hAnsi="Arial" w:cs="Arial"/>
          <w:color w:val="000000"/>
          <w:kern w:val="0"/>
          <w:sz w:val="22"/>
          <w:szCs w:val="22"/>
        </w:rPr>
        <w:t>при реализации - стоимость материальных ценностей и сумму расходов, связанных с их реализацией, за вычетом доходов от их реализации (без учета налога на добавленную стоимость).</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0" w:name="77"/>
      <w:bookmarkEnd w:id="80"/>
      <w:r>
        <w:rPr>
          <w:rFonts w:ascii="Arial" w:hAnsi="Arial" w:cs="Arial"/>
          <w:color w:val="000000"/>
          <w:kern w:val="0"/>
          <w:sz w:val="22"/>
          <w:szCs w:val="22"/>
        </w:rPr>
        <w:t>12. Совету Министров Республики Беларусь:</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1" w:name="78"/>
      <w:bookmarkEnd w:id="81"/>
      <w:r>
        <w:rPr>
          <w:rFonts w:ascii="Arial" w:hAnsi="Arial" w:cs="Arial"/>
          <w:color w:val="000000"/>
          <w:kern w:val="0"/>
          <w:sz w:val="22"/>
          <w:szCs w:val="22"/>
        </w:rPr>
        <w:t>при формировании проектов республиканского бюджета на 2026 - 2028 годы предусматривать объем дотаций, передаваемых в консолидированные бюджеты областей, в размерах не ниже установленных Законом Республики Беларусь от 13 декабря 2024 г. N 48-З "О республиканском бюджете на 2025 год";</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2" w:name="79"/>
      <w:bookmarkEnd w:id="82"/>
      <w:r>
        <w:rPr>
          <w:rFonts w:ascii="Arial" w:hAnsi="Arial" w:cs="Arial"/>
          <w:color w:val="000000"/>
          <w:kern w:val="0"/>
          <w:sz w:val="22"/>
          <w:szCs w:val="22"/>
        </w:rPr>
        <w:t>в трехмесячный срок принять меры по реализации настоящего Указа.</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3" w:name="80"/>
      <w:bookmarkEnd w:id="83"/>
      <w:r>
        <w:rPr>
          <w:rFonts w:ascii="Arial" w:hAnsi="Arial" w:cs="Arial"/>
          <w:color w:val="000000"/>
          <w:kern w:val="0"/>
          <w:sz w:val="22"/>
          <w:szCs w:val="22"/>
        </w:rPr>
        <w:t>13. Областным исполкомам при формировании проектов областных бюджетов на 2026 - 2028 годы предусматривать объем дотаций, передаваемых в консолидированные бюджеты районов, в размерах не ниже установленных в решениях соответствующих областных Советов депутатов об областном бюджете на 2025 год.</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4" w:name="81"/>
      <w:bookmarkEnd w:id="84"/>
      <w:r>
        <w:rPr>
          <w:rFonts w:ascii="Arial" w:hAnsi="Arial" w:cs="Arial"/>
          <w:color w:val="000000"/>
          <w:kern w:val="0"/>
          <w:sz w:val="22"/>
          <w:szCs w:val="22"/>
        </w:rPr>
        <w:t>14. Настоящий Указ вступает в силу с 1 марта 2025 г., за исключением подпункта 3.5 пункта 3, который вступает в силу с 1 августа 2025 г.</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5" w:name="82"/>
      <w:bookmarkEnd w:id="85"/>
      <w:r>
        <w:rPr>
          <w:rFonts w:ascii="Arial" w:hAnsi="Arial" w:cs="Arial"/>
          <w:color w:val="000000"/>
          <w:kern w:val="0"/>
          <w:sz w:val="22"/>
          <w:szCs w:val="22"/>
        </w:rPr>
        <w:t>Абзац второй подпункта 1.2 пункта 1 настоящего Указа действует до 28 февраля 2027 г.</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6" w:name="83"/>
      <w:bookmarkEnd w:id="86"/>
      <w:r>
        <w:rPr>
          <w:rFonts w:ascii="Arial" w:hAnsi="Arial" w:cs="Arial"/>
          <w:color w:val="000000"/>
          <w:kern w:val="0"/>
          <w:sz w:val="22"/>
          <w:szCs w:val="22"/>
        </w:rPr>
        <w:t>Действие подпунктов 3.1 - 3.3 пункта 3 настоящего Указа распространяется на правоотношения, возникающие при назначении на должность (освобождении от должности, продлении, расторжении трудовых договоров (контрактов) после вступления данных подпунктов в силу.</w:t>
      </w:r>
    </w:p>
    <w:p w:rsidR="00436C80" w:rsidRDefault="00436C80">
      <w:pPr>
        <w:widowControl w:val="0"/>
        <w:autoSpaceDE w:val="0"/>
        <w:autoSpaceDN w:val="0"/>
        <w:adjustRightInd w:val="0"/>
        <w:spacing w:after="0" w:line="240" w:lineRule="auto"/>
        <w:ind w:firstLine="538"/>
        <w:jc w:val="both"/>
        <w:rPr>
          <w:rFonts w:ascii="Arial" w:hAnsi="Arial" w:cs="Arial"/>
          <w:color w:val="000000"/>
          <w:kern w:val="0"/>
          <w:sz w:val="22"/>
          <w:szCs w:val="22"/>
        </w:rPr>
      </w:pPr>
      <w:bookmarkStart w:id="87" w:name="84"/>
      <w:bookmarkEnd w:id="87"/>
      <w:r>
        <w:rPr>
          <w:rFonts w:ascii="Arial" w:hAnsi="Arial" w:cs="Arial"/>
          <w:color w:val="000000"/>
          <w:kern w:val="0"/>
          <w:sz w:val="22"/>
          <w:szCs w:val="22"/>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436C80">
        <w:tblPrEx>
          <w:tblCellMar>
            <w:top w:w="0" w:type="dxa"/>
            <w:left w:w="0" w:type="dxa"/>
            <w:bottom w:w="0" w:type="dxa"/>
            <w:right w:w="0" w:type="dxa"/>
          </w:tblCellMar>
        </w:tblPrEx>
        <w:tc>
          <w:tcPr>
            <w:tcW w:w="4535" w:type="dxa"/>
            <w:tcBorders>
              <w:top w:val="nil"/>
              <w:left w:val="nil"/>
              <w:bottom w:val="nil"/>
              <w:right w:val="nil"/>
            </w:tcBorders>
            <w:tcMar>
              <w:top w:w="20" w:type="dxa"/>
              <w:left w:w="20" w:type="dxa"/>
              <w:bottom w:w="20" w:type="dxa"/>
              <w:right w:w="20" w:type="dxa"/>
            </w:tcMar>
          </w:tcPr>
          <w:p w:rsidR="00436C80" w:rsidRDefault="00436C80">
            <w:pPr>
              <w:widowControl w:val="0"/>
              <w:autoSpaceDE w:val="0"/>
              <w:autoSpaceDN w:val="0"/>
              <w:adjustRightInd w:val="0"/>
              <w:spacing w:after="0" w:line="240" w:lineRule="auto"/>
              <w:rPr>
                <w:rFonts w:ascii="Arial" w:hAnsi="Arial" w:cs="Arial"/>
                <w:color w:val="000000"/>
                <w:kern w:val="0"/>
                <w:sz w:val="22"/>
                <w:szCs w:val="22"/>
              </w:rPr>
            </w:pPr>
            <w:r>
              <w:rPr>
                <w:rFonts w:ascii="Arial" w:hAnsi="Arial" w:cs="Arial"/>
                <w:color w:val="000000"/>
                <w:kern w:val="0"/>
                <w:sz w:val="22"/>
                <w:szCs w:val="22"/>
              </w:rPr>
              <w:t>Президент Республики Беларусь</w:t>
            </w:r>
          </w:p>
        </w:tc>
        <w:tc>
          <w:tcPr>
            <w:tcW w:w="4535" w:type="dxa"/>
            <w:tcBorders>
              <w:top w:val="nil"/>
              <w:left w:val="nil"/>
              <w:bottom w:val="nil"/>
              <w:right w:val="nil"/>
            </w:tcBorders>
            <w:tcMar>
              <w:top w:w="20" w:type="dxa"/>
              <w:left w:w="20" w:type="dxa"/>
              <w:bottom w:w="20" w:type="dxa"/>
              <w:right w:w="20" w:type="dxa"/>
            </w:tcMar>
          </w:tcPr>
          <w:p w:rsidR="00436C80" w:rsidRDefault="00436C80">
            <w:pPr>
              <w:widowControl w:val="0"/>
              <w:autoSpaceDE w:val="0"/>
              <w:autoSpaceDN w:val="0"/>
              <w:adjustRightInd w:val="0"/>
              <w:spacing w:after="0" w:line="240" w:lineRule="auto"/>
              <w:jc w:val="right"/>
              <w:rPr>
                <w:rFonts w:ascii="Arial" w:hAnsi="Arial" w:cs="Arial"/>
                <w:color w:val="000000"/>
                <w:kern w:val="0"/>
                <w:sz w:val="22"/>
                <w:szCs w:val="22"/>
              </w:rPr>
            </w:pPr>
            <w:r>
              <w:rPr>
                <w:rFonts w:ascii="Arial" w:hAnsi="Arial" w:cs="Arial"/>
                <w:color w:val="000000"/>
                <w:kern w:val="0"/>
                <w:sz w:val="22"/>
                <w:szCs w:val="22"/>
              </w:rPr>
              <w:t>А.Лукашенко</w:t>
            </w:r>
          </w:p>
        </w:tc>
      </w:tr>
    </w:tbl>
    <w:p w:rsidR="00436C80" w:rsidRDefault="00436C80">
      <w:pPr>
        <w:widowControl w:val="0"/>
        <w:autoSpaceDE w:val="0"/>
        <w:autoSpaceDN w:val="0"/>
        <w:adjustRightInd w:val="0"/>
        <w:spacing w:after="0" w:line="240" w:lineRule="auto"/>
        <w:rPr>
          <w:rFonts w:ascii="Arial" w:hAnsi="Arial" w:cs="Arial"/>
          <w:color w:val="000000"/>
          <w:kern w:val="0"/>
          <w:sz w:val="22"/>
          <w:szCs w:val="22"/>
        </w:rPr>
      </w:pPr>
      <w:bookmarkStart w:id="88" w:name="86"/>
      <w:bookmarkEnd w:id="88"/>
      <w:r>
        <w:rPr>
          <w:rFonts w:ascii="Arial" w:hAnsi="Arial" w:cs="Arial"/>
          <w:color w:val="000000"/>
          <w:kern w:val="0"/>
          <w:sz w:val="22"/>
          <w:szCs w:val="22"/>
        </w:rPr>
        <w:t> </w:t>
      </w:r>
    </w:p>
    <w:p w:rsidR="00436C80" w:rsidRDefault="00436C80">
      <w:pPr>
        <w:widowControl w:val="0"/>
        <w:autoSpaceDE w:val="0"/>
        <w:autoSpaceDN w:val="0"/>
        <w:adjustRightInd w:val="0"/>
        <w:spacing w:after="0" w:line="240" w:lineRule="auto"/>
        <w:rPr>
          <w:rFonts w:ascii="Arial" w:hAnsi="Arial" w:cs="Arial"/>
          <w:color w:val="000000"/>
          <w:kern w:val="0"/>
          <w:sz w:val="22"/>
          <w:szCs w:val="22"/>
        </w:rPr>
      </w:pPr>
      <w:bookmarkStart w:id="89" w:name="87"/>
      <w:bookmarkEnd w:id="89"/>
      <w:r>
        <w:rPr>
          <w:rFonts w:ascii="Arial" w:hAnsi="Arial" w:cs="Arial"/>
          <w:color w:val="000000"/>
          <w:kern w:val="0"/>
          <w:sz w:val="22"/>
          <w:szCs w:val="22"/>
        </w:rPr>
        <w:t> </w:t>
      </w:r>
    </w:p>
    <w:p w:rsidR="00436C80" w:rsidRDefault="00436C80">
      <w:pPr>
        <w:widowControl w:val="0"/>
        <w:autoSpaceDE w:val="0"/>
        <w:autoSpaceDN w:val="0"/>
        <w:adjustRightInd w:val="0"/>
        <w:spacing w:after="0" w:line="240" w:lineRule="auto"/>
        <w:rPr>
          <w:rFonts w:ascii="Arial" w:hAnsi="Arial" w:cs="Arial"/>
          <w:color w:val="000000"/>
          <w:kern w:val="0"/>
          <w:sz w:val="22"/>
          <w:szCs w:val="22"/>
        </w:rPr>
      </w:pPr>
      <w:bookmarkStart w:id="90" w:name="88"/>
      <w:bookmarkEnd w:id="90"/>
      <w:r>
        <w:rPr>
          <w:rFonts w:ascii="Arial" w:hAnsi="Arial" w:cs="Arial"/>
          <w:color w:val="000000"/>
          <w:kern w:val="0"/>
          <w:sz w:val="22"/>
          <w:szCs w:val="22"/>
        </w:rPr>
        <w:t>------------------------------------------------------------------</w:t>
      </w:r>
    </w:p>
    <w:sectPr w:rsidR="00436C80">
      <w:headerReference w:type="default" r:id="rId6"/>
      <w:footerReference w:type="default" r:id="rId7"/>
      <w:pgSz w:w="11905" w:h="16837"/>
      <w:pgMar w:top="1133" w:right="850"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4D0" w:rsidRDefault="009844D0">
      <w:pPr>
        <w:spacing w:after="0" w:line="240" w:lineRule="auto"/>
      </w:pPr>
      <w:r>
        <w:separator/>
      </w:r>
    </w:p>
  </w:endnote>
  <w:endnote w:type="continuationSeparator" w:id="0">
    <w:p w:rsidR="009844D0" w:rsidRDefault="0098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80" w:rsidRDefault="00436C80">
    <w:pPr>
      <w:widowControl w:val="0"/>
      <w:autoSpaceDE w:val="0"/>
      <w:autoSpaceDN w:val="0"/>
      <w:adjustRightInd w:val="0"/>
      <w:spacing w:after="0" w:line="240" w:lineRule="auto"/>
      <w:rPr>
        <w:rFonts w:ascii="Arial" w:hAnsi="Arial" w:cs="Arial"/>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4D0" w:rsidRDefault="009844D0">
      <w:pPr>
        <w:spacing w:after="0" w:line="240" w:lineRule="auto"/>
      </w:pPr>
      <w:r>
        <w:separator/>
      </w:r>
    </w:p>
  </w:footnote>
  <w:footnote w:type="continuationSeparator" w:id="0">
    <w:p w:rsidR="009844D0" w:rsidRDefault="00984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C80" w:rsidRDefault="00436C80">
    <w:pPr>
      <w:widowControl w:val="0"/>
      <w:autoSpaceDE w:val="0"/>
      <w:autoSpaceDN w:val="0"/>
      <w:adjustRightInd w:val="0"/>
      <w:spacing w:after="0" w:line="240" w:lineRule="auto"/>
      <w:rPr>
        <w:rFonts w:ascii="Arial" w:hAnsi="Arial" w:cs="Arial"/>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95"/>
    <w:rsid w:val="000906CD"/>
    <w:rsid w:val="00436C80"/>
    <w:rsid w:val="00470395"/>
    <w:rsid w:val="005A437F"/>
    <w:rsid w:val="005A5A60"/>
    <w:rsid w:val="00714FCF"/>
    <w:rsid w:val="00743AB6"/>
    <w:rsid w:val="00820F81"/>
    <w:rsid w:val="009844D0"/>
    <w:rsid w:val="00E8425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D1587D-89A4-4274-8382-84D29EC1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Цыбулько</dc:creator>
  <cp:keywords/>
  <dc:description/>
  <cp:lastModifiedBy>mike</cp:lastModifiedBy>
  <cp:revision>2</cp:revision>
  <dcterms:created xsi:type="dcterms:W3CDTF">2025-04-26T11:31:00Z</dcterms:created>
  <dcterms:modified xsi:type="dcterms:W3CDTF">2025-04-26T11:31:00Z</dcterms:modified>
</cp:coreProperties>
</file>