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54" w:rsidRPr="00B57A54" w:rsidRDefault="00B57A54" w:rsidP="00B57A54">
      <w:pPr>
        <w:autoSpaceDE w:val="0"/>
        <w:autoSpaceDN w:val="0"/>
        <w:adjustRightInd w:val="0"/>
        <w:spacing w:before="200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bidi="ar-SA"/>
        </w:rPr>
      </w:pPr>
      <w:r w:rsidRPr="00B57A54">
        <w:rPr>
          <w:rFonts w:ascii="Times New Roman" w:eastAsiaTheme="minorEastAsia" w:hAnsi="Times New Roman" w:cs="Times New Roman"/>
          <w:b/>
          <w:bCs/>
          <w:sz w:val="30"/>
          <w:szCs w:val="30"/>
          <w:lang w:bidi="ar-SA"/>
        </w:rPr>
        <w:t xml:space="preserve">О ПРЕДОСТАВЛЕНИИ ИНФОРМАЦИИ О ГЛОБАЛЬНОМ НОМЕРЕ РАСПОЛОЖЕНИЯ GLN МЕСТА УСТАНОВКИ И ИСПОЛЬЗОВАНИЯ КАССОВОГО ОБОРУДОВАНИЯ И ТОРГОВЫХ АВТОМАТОВ ДЛЯ </w:t>
      </w:r>
      <w:proofErr w:type="gramStart"/>
      <w:r w:rsidRPr="00B57A54">
        <w:rPr>
          <w:rFonts w:ascii="Times New Roman" w:eastAsiaTheme="minorEastAsia" w:hAnsi="Times New Roman" w:cs="Times New Roman"/>
          <w:b/>
          <w:bCs/>
          <w:sz w:val="30"/>
          <w:szCs w:val="30"/>
          <w:lang w:bidi="ar-SA"/>
        </w:rPr>
        <w:t>ВНЕСЕНИЯ В</w:t>
      </w:r>
      <w:proofErr w:type="gramEnd"/>
      <w:r w:rsidRPr="00B57A54">
        <w:rPr>
          <w:rFonts w:ascii="Times New Roman" w:eastAsiaTheme="minorEastAsia" w:hAnsi="Times New Roman" w:cs="Times New Roman"/>
          <w:b/>
          <w:bCs/>
          <w:sz w:val="30"/>
          <w:szCs w:val="30"/>
          <w:lang w:bidi="ar-SA"/>
        </w:rPr>
        <w:t xml:space="preserve"> СККО</w:t>
      </w:r>
    </w:p>
    <w:p w:rsidR="00B57A54" w:rsidRDefault="00B57A54">
      <w:pPr>
        <w:pStyle w:val="20"/>
        <w:shd w:val="clear" w:color="auto" w:fill="auto"/>
        <w:spacing w:after="0" w:line="341" w:lineRule="exact"/>
        <w:ind w:firstLine="760"/>
      </w:pP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Министерство по налогам и сборам </w:t>
      </w:r>
      <w:r w:rsidR="00B57A54" w:rsidRPr="00B57A54">
        <w:t xml:space="preserve">информирует, что </w:t>
      </w:r>
      <w:r w:rsidR="00B57A54">
        <w:t>с</w:t>
      </w:r>
      <w:r>
        <w:t xml:space="preserve"> </w:t>
      </w:r>
      <w:r>
        <w:rPr>
          <w:rStyle w:val="21"/>
        </w:rPr>
        <w:t xml:space="preserve">01.07.2025 </w:t>
      </w:r>
      <w:r>
        <w:t>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</w:t>
      </w:r>
      <w:r>
        <w:t xml:space="preserve"> обработки данных, утвержденную постановлением Министерства по налогам и сборам Республики Беларусь от 2 марта 2012 г. № 9 (далее - Инструкция № 9), предусматривающие, в том числе, </w:t>
      </w:r>
      <w:r>
        <w:rPr>
          <w:rStyle w:val="21"/>
        </w:rPr>
        <w:t xml:space="preserve">внесение РУП ИИЦ </w:t>
      </w:r>
      <w:r>
        <w:t>в центр обработки данных системы контроля торговых автомат</w:t>
      </w:r>
      <w:r>
        <w:t xml:space="preserve">ов и системы контроля кассового оборудования (далее - ЦОД СКТА и ЦОД СККО соответственно) информации о глобальном номере расположения - </w:t>
      </w:r>
      <w:r>
        <w:rPr>
          <w:lang w:val="en-US" w:eastAsia="en-US" w:bidi="en-US"/>
        </w:rPr>
        <w:t>Global</w:t>
      </w:r>
      <w:r w:rsidRPr="00B57A54">
        <w:rPr>
          <w:lang w:eastAsia="en-US" w:bidi="en-US"/>
        </w:rPr>
        <w:t xml:space="preserve"> </w:t>
      </w:r>
      <w:r>
        <w:rPr>
          <w:lang w:val="en-US" w:eastAsia="en-US" w:bidi="en-US"/>
        </w:rPr>
        <w:t>Location</w:t>
      </w:r>
      <w:r w:rsidRPr="00B57A54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B57A54">
        <w:rPr>
          <w:lang w:eastAsia="en-US" w:bidi="en-US"/>
        </w:rPr>
        <w:t xml:space="preserve"> (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) </w:t>
      </w:r>
      <w:r>
        <w:t>места установки и использования: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автоматического электронного аппарата, торгового автомата </w:t>
      </w:r>
      <w:r>
        <w:t>(далее - торговые автоматы);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>кассового суммирующего аппарата, в том числе совмещенного с таксометром, билетопечатающей машинам (далее - КСА);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>программной кассы.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За получением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 xml:space="preserve">необходимо обращаться в Ассоциацию ГС1 Беларуси (г. Минск, ул. </w:t>
      </w:r>
      <w:proofErr w:type="spellStart"/>
      <w:r>
        <w:t>Судмалиса</w:t>
      </w:r>
      <w:proofErr w:type="spellEnd"/>
      <w:r>
        <w:t>, 22,</w:t>
      </w:r>
      <w:r>
        <w:t xml:space="preserve"> 4 этаж. Тел.: (+375 17) 249-09-75, 227-09-13, 224-06-60, 317-89-52; факс (+375 17) 244-03-01, </w:t>
      </w:r>
      <w:r>
        <w:rPr>
          <w:lang w:val="en-US" w:eastAsia="en-US" w:bidi="en-US"/>
        </w:rPr>
        <w:t>e</w:t>
      </w:r>
      <w:r w:rsidRPr="00B57A5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57A54">
        <w:rPr>
          <w:lang w:eastAsia="en-US" w:bidi="en-US"/>
        </w:rPr>
        <w:t xml:space="preserve">: </w:t>
      </w:r>
      <w:hyperlink r:id="rId6" w:history="1">
        <w:r>
          <w:rPr>
            <w:rStyle w:val="a3"/>
            <w:lang w:val="en-US" w:eastAsia="en-US" w:bidi="en-US"/>
          </w:rPr>
          <w:t>info</w:t>
        </w:r>
        <w:r w:rsidRPr="00B57A54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gs</w:t>
        </w:r>
        <w:r w:rsidRPr="00B57A54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B57A5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B57A54">
        <w:rPr>
          <w:lang w:eastAsia="en-US" w:bidi="en-US"/>
        </w:rPr>
        <w:t xml:space="preserve">, </w:t>
      </w:r>
      <w:r>
        <w:t xml:space="preserve">порядок получения и необходимая справочная информация размещены на сайте </w:t>
      </w:r>
      <w:hyperlink r:id="rId7" w:history="1">
        <w:r>
          <w:rPr>
            <w:rStyle w:val="a3"/>
            <w:lang w:val="en-US" w:eastAsia="en-US" w:bidi="en-US"/>
          </w:rPr>
          <w:t>ht</w:t>
        </w:r>
        <w:r>
          <w:rPr>
            <w:rStyle w:val="a3"/>
            <w:lang w:val="en-US" w:eastAsia="en-US" w:bidi="en-US"/>
          </w:rPr>
          <w:t>tp</w:t>
        </w:r>
        <w:r w:rsidRPr="00B57A54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gs</w:t>
        </w:r>
        <w:r w:rsidRPr="00B57A54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B57A54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 w:rsidRPr="00B57A54">
          <w:rPr>
            <w:rStyle w:val="a3"/>
            <w:lang w:eastAsia="en-US" w:bidi="en-US"/>
          </w:rPr>
          <w:t>/</w:t>
        </w:r>
      </w:hyperlink>
      <w:r w:rsidRPr="00B57A54">
        <w:rPr>
          <w:lang w:eastAsia="en-US" w:bidi="en-US"/>
        </w:rPr>
        <w:t>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Обращаем внимание, что в ЦОД СКТА и ЦОД СККО вносится информация о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 xml:space="preserve">места установки и использования </w:t>
      </w:r>
      <w:r>
        <w:rPr>
          <w:rStyle w:val="21"/>
        </w:rPr>
        <w:t xml:space="preserve">каждой единицы </w:t>
      </w:r>
      <w:r>
        <w:t>торгового автомата, КСА или программной кассы.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>При этом отмечаем, что субъекты хозяйствования, использующие торговые а</w:t>
      </w:r>
      <w:r>
        <w:t xml:space="preserve">втоматы и (или) кассовое оборудование в торговых центрах, рынках и иных объектах, у которых уже имеется </w:t>
      </w:r>
      <w:r>
        <w:rPr>
          <w:lang w:val="en-US" w:eastAsia="en-US" w:bidi="en-US"/>
        </w:rPr>
        <w:t>GLN</w:t>
      </w:r>
      <w:r>
        <w:t xml:space="preserve">-номер, вправе предоставлять в РУП ИИЦ информацию о </w:t>
      </w:r>
      <w:r>
        <w:rPr>
          <w:lang w:val="en-US" w:eastAsia="en-US" w:bidi="en-US"/>
        </w:rPr>
        <w:t>GLN</w:t>
      </w:r>
      <w:r>
        <w:t>-номерах таких объектов без необходимости их получения самостоятельно в Ассоциации ГС1 Беларус</w:t>
      </w:r>
      <w:r>
        <w:t>и.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</w:t>
      </w:r>
      <w:r>
        <w:t xml:space="preserve">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 xml:space="preserve">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>субъект хозяйствования вправе получить у владельца объе</w:t>
      </w:r>
      <w:r>
        <w:t xml:space="preserve">кта недвижимости, а в случае его отсутствия вправе самостоятельно обратиться в Ассоциацию ГС1 Беларуси за присвоением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>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lastRenderedPageBreak/>
        <w:t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</w:t>
      </w:r>
      <w:r>
        <w:t xml:space="preserve">акси) в ЦОД СККО подлежит внесению информация о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 xml:space="preserve">головной организации (месте нахождения организации/месте жительства индивидуального предпринимателя). Присвоение </w:t>
      </w:r>
      <w:bookmarkStart w:id="0" w:name="_GoBack"/>
      <w:bookmarkEnd w:id="0"/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>каждой единице КСА (программной кассы), используемых в транспортном средстве, курьерами</w:t>
      </w:r>
      <w:r>
        <w:t xml:space="preserve">, передвижных средствах разносной торговли (включая автолавки) </w:t>
      </w:r>
      <w:r>
        <w:rPr>
          <w:rStyle w:val="21"/>
        </w:rPr>
        <w:t>не требуется</w:t>
      </w:r>
      <w:r>
        <w:t>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Обращаем внимание, что в соответствии с Инструкцией № 9 внесение в ЦОД СКТА и ЦОД СККО </w:t>
      </w:r>
      <w:r>
        <w:rPr>
          <w:rStyle w:val="21"/>
        </w:rPr>
        <w:t xml:space="preserve">информации о </w:t>
      </w:r>
      <w:r>
        <w:rPr>
          <w:rStyle w:val="21"/>
          <w:lang w:val="en-US" w:eastAsia="en-US" w:bidi="en-US"/>
        </w:rPr>
        <w:t>GLN</w:t>
      </w:r>
      <w:r w:rsidRPr="00B57A54">
        <w:rPr>
          <w:rStyle w:val="21"/>
          <w:lang w:eastAsia="en-US" w:bidi="en-US"/>
        </w:rPr>
        <w:t xml:space="preserve"> </w:t>
      </w:r>
      <w:r>
        <w:t xml:space="preserve">места установки и использования торгового автомата, кассового оборудования </w:t>
      </w:r>
      <w:r>
        <w:rPr>
          <w:rStyle w:val="21"/>
        </w:rPr>
        <w:t xml:space="preserve">как обязательной </w:t>
      </w:r>
      <w:r>
        <w:t xml:space="preserve">осуществляется РУП ИИЦ </w:t>
      </w:r>
      <w:r>
        <w:rPr>
          <w:rStyle w:val="21"/>
        </w:rPr>
        <w:t>с 01.07.2025</w:t>
      </w:r>
      <w:r>
        <w:t>.</w:t>
      </w:r>
    </w:p>
    <w:p w:rsidR="00CC0ED2" w:rsidRDefault="00B41CCB">
      <w:pPr>
        <w:pStyle w:val="20"/>
        <w:shd w:val="clear" w:color="auto" w:fill="auto"/>
        <w:spacing w:after="0" w:line="341" w:lineRule="exact"/>
        <w:ind w:firstLine="760"/>
      </w:pPr>
      <w:r>
        <w:t xml:space="preserve">В этой связи при </w:t>
      </w:r>
      <w:r>
        <w:rPr>
          <w:rStyle w:val="21"/>
        </w:rPr>
        <w:t xml:space="preserve">регистрации </w:t>
      </w:r>
      <w:r>
        <w:t xml:space="preserve">в ЦОД СКТА и ЦОД СККО </w:t>
      </w:r>
      <w:r>
        <w:rPr>
          <w:rStyle w:val="21"/>
        </w:rPr>
        <w:t xml:space="preserve">с 01.07.2025 </w:t>
      </w:r>
      <w:r>
        <w:t xml:space="preserve">торгового автомата, кассового </w:t>
      </w:r>
      <w:r>
        <w:rPr>
          <w:rStyle w:val="21"/>
        </w:rPr>
        <w:t>оборудования либо последующей их перерегистрации</w:t>
      </w:r>
      <w:r>
        <w:t xml:space="preserve">, предоставление информации о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>является обязательным.</w:t>
      </w:r>
    </w:p>
    <w:p w:rsidR="00CC0ED2" w:rsidRDefault="00B41CCB" w:rsidP="00B57A54">
      <w:pPr>
        <w:pStyle w:val="20"/>
        <w:shd w:val="clear" w:color="auto" w:fill="auto"/>
        <w:spacing w:after="0" w:line="341" w:lineRule="exact"/>
        <w:ind w:firstLine="760"/>
      </w:pPr>
      <w:r>
        <w:t xml:space="preserve">В отношении торговых автоматов, кассового оборудования, информация о которых была внесена в ЦОД СКТА и ЦОД СККО </w:t>
      </w:r>
      <w:r>
        <w:rPr>
          <w:rStyle w:val="21"/>
        </w:rPr>
        <w:t>до 01.07.2025</w:t>
      </w:r>
      <w:r>
        <w:t xml:space="preserve">, предоставление в РУП ИИЦ информации о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>осуществляется субъектами хозяйствования самостоятельно в опреде</w:t>
      </w:r>
      <w:r>
        <w:t>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</w:t>
      </w:r>
      <w:r w:rsidR="00B57A54">
        <w:t xml:space="preserve"> </w:t>
      </w:r>
      <w:r>
        <w:t>по</w:t>
      </w:r>
      <w:r>
        <w:t xml:space="preserve"> предоставлению в РУП ИИЦ информации о </w:t>
      </w:r>
      <w:r>
        <w:rPr>
          <w:lang w:val="en-US" w:eastAsia="en-US" w:bidi="en-US"/>
        </w:rPr>
        <w:t>GLN</w:t>
      </w:r>
      <w:r w:rsidRPr="00B57A54">
        <w:rPr>
          <w:lang w:eastAsia="en-US" w:bidi="en-US"/>
        </w:rPr>
        <w:t xml:space="preserve"> </w:t>
      </w:r>
      <w:r>
        <w:t xml:space="preserve">в срок </w:t>
      </w:r>
      <w:r>
        <w:rPr>
          <w:rStyle w:val="21"/>
        </w:rPr>
        <w:t>до 01.07.2025 не установлена</w:t>
      </w:r>
      <w:r>
        <w:t>.</w:t>
      </w:r>
    </w:p>
    <w:p w:rsidR="0072191B" w:rsidRDefault="0072191B" w:rsidP="00B57A54">
      <w:pPr>
        <w:pStyle w:val="20"/>
        <w:shd w:val="clear" w:color="auto" w:fill="auto"/>
        <w:spacing w:after="0" w:line="341" w:lineRule="exact"/>
        <w:ind w:firstLine="760"/>
      </w:pPr>
    </w:p>
    <w:p w:rsidR="0072191B" w:rsidRPr="0072191B" w:rsidRDefault="0072191B" w:rsidP="0072191B">
      <w:pPr>
        <w:shd w:val="clear" w:color="auto" w:fill="FFFFFF"/>
        <w:jc w:val="right"/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</w:pPr>
      <w:r w:rsidRPr="0072191B"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  <w:t xml:space="preserve">Инспекция Министерства по налогам и сборам  </w:t>
      </w:r>
    </w:p>
    <w:p w:rsidR="0072191B" w:rsidRPr="0072191B" w:rsidRDefault="0072191B" w:rsidP="0072191B">
      <w:pPr>
        <w:jc w:val="right"/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</w:pPr>
      <w:r w:rsidRPr="0072191B"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  <w:t xml:space="preserve">Республики Беларусь по </w:t>
      </w:r>
      <w:proofErr w:type="spellStart"/>
      <w:r w:rsidRPr="0072191B"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  <w:t>Смолевичскому</w:t>
      </w:r>
      <w:proofErr w:type="spellEnd"/>
      <w:r w:rsidRPr="0072191B">
        <w:rPr>
          <w:rFonts w:ascii="Times New Roman" w:eastAsiaTheme="minorEastAsia" w:hAnsi="Times New Roman" w:cs="Times New Roman"/>
          <w:b/>
          <w:color w:val="auto"/>
          <w:sz w:val="28"/>
          <w:szCs w:val="22"/>
          <w:lang w:bidi="ar-SA"/>
        </w:rPr>
        <w:t xml:space="preserve"> району</w:t>
      </w:r>
    </w:p>
    <w:p w:rsidR="0072191B" w:rsidRDefault="0072191B" w:rsidP="00B57A54">
      <w:pPr>
        <w:pStyle w:val="20"/>
        <w:shd w:val="clear" w:color="auto" w:fill="auto"/>
        <w:spacing w:after="0" w:line="341" w:lineRule="exact"/>
        <w:ind w:firstLine="760"/>
      </w:pPr>
    </w:p>
    <w:sectPr w:rsidR="0072191B">
      <w:headerReference w:type="even" r:id="rId8"/>
      <w:headerReference w:type="default" r:id="rId9"/>
      <w:footerReference w:type="default" r:id="rId10"/>
      <w:pgSz w:w="11900" w:h="16840"/>
      <w:pgMar w:top="1047" w:right="531" w:bottom="1047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A54" w:rsidRDefault="00B57A54">
      <w:r>
        <w:separator/>
      </w:r>
    </w:p>
  </w:endnote>
  <w:endnote w:type="continuationSeparator" w:id="0">
    <w:p w:rsidR="00B57A54" w:rsidRDefault="00B5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D2" w:rsidRDefault="00CC0ED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A54" w:rsidRDefault="00B57A54"/>
  </w:footnote>
  <w:footnote w:type="continuationSeparator" w:id="0">
    <w:p w:rsidR="00B57A54" w:rsidRDefault="00B57A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D2" w:rsidRDefault="00CC0ED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ED2" w:rsidRDefault="00CC0ED2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ED2"/>
    <w:rsid w:val="0072191B"/>
    <w:rsid w:val="00B41CCB"/>
    <w:rsid w:val="00B57A54"/>
    <w:rsid w:val="00C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423E2A5"/>
  <w15:docId w15:val="{6DF32263-CFAD-49FF-9EDE-AD6DC2C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s1by.b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s1by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dcterms:created xsi:type="dcterms:W3CDTF">2025-05-23T06:07:00Z</dcterms:created>
  <dcterms:modified xsi:type="dcterms:W3CDTF">2025-05-23T06:07:00Z</dcterms:modified>
</cp:coreProperties>
</file>