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47A" w:rsidRDefault="003A547A" w:rsidP="003A547A">
      <w:pPr>
        <w:pStyle w:val="20"/>
        <w:shd w:val="clear" w:color="auto" w:fill="auto"/>
        <w:spacing w:line="341" w:lineRule="exact"/>
        <w:jc w:val="both"/>
        <w:rPr>
          <w:b/>
        </w:rPr>
      </w:pPr>
      <w:r>
        <w:t xml:space="preserve"> </w:t>
      </w:r>
      <w:r w:rsidRPr="003A547A">
        <w:rPr>
          <w:b/>
        </w:rPr>
        <w:t>«О</w:t>
      </w:r>
      <w:r w:rsidRPr="003A547A">
        <w:rPr>
          <w:b/>
        </w:rPr>
        <w:t xml:space="preserve"> возможности реализации товаров, маркированных средствами идентификации, с использованием торговых автоматов»</w:t>
      </w:r>
      <w:r w:rsidRPr="003A547A">
        <w:rPr>
          <w:b/>
        </w:rPr>
        <w:t xml:space="preserve"> </w:t>
      </w:r>
    </w:p>
    <w:p w:rsidR="003A547A" w:rsidRPr="003A547A" w:rsidRDefault="003A547A" w:rsidP="003A547A">
      <w:pPr>
        <w:pStyle w:val="20"/>
        <w:shd w:val="clear" w:color="auto" w:fill="auto"/>
        <w:spacing w:line="341" w:lineRule="exact"/>
        <w:jc w:val="both"/>
        <w:rPr>
          <w:b/>
        </w:rPr>
      </w:pPr>
    </w:p>
    <w:p w:rsidR="00271B50" w:rsidRDefault="003A547A">
      <w:pPr>
        <w:pStyle w:val="20"/>
        <w:shd w:val="clear" w:color="auto" w:fill="auto"/>
        <w:spacing w:line="341" w:lineRule="exact"/>
        <w:ind w:firstLine="800"/>
        <w:jc w:val="both"/>
      </w:pPr>
      <w:r w:rsidRPr="003A547A">
        <w:t xml:space="preserve">Министерство по налогам и сборам </w:t>
      </w:r>
      <w:r>
        <w:t xml:space="preserve">сообщает, в </w:t>
      </w:r>
      <w:r>
        <w:t>связи с принятием постановления Совета Министров Республики</w:t>
      </w:r>
      <w:r>
        <w:t xml:space="preserve"> Беларусь, Национального банка Республики Беларусь от 25.09.2025 № 529/24 «Об изменении постановления Совета Министров Республики Беларусь и Национального банка Республики Беларусь от 6 июля 2011 г. № 924/16» (далее - постановление № 529/24) субъектам хозя</w:t>
      </w:r>
      <w:r>
        <w:t xml:space="preserve">йствования </w:t>
      </w:r>
      <w:r>
        <w:rPr>
          <w:rStyle w:val="21"/>
        </w:rPr>
        <w:t xml:space="preserve">до 1 марта 2029 г. </w:t>
      </w:r>
      <w:r>
        <w:t xml:space="preserve">в отношении товаров, подлежащих маркировке средствами идентификации, реализуемых на территории сельской местности и в </w:t>
      </w:r>
      <w:r>
        <w:rPr>
          <w:rStyle w:val="21"/>
        </w:rPr>
        <w:t xml:space="preserve">торговых объектах </w:t>
      </w:r>
      <w:r>
        <w:t>с торговой площадью менее 200 квадратных метров предоставлено право не обеспечивать: веден</w:t>
      </w:r>
      <w:r>
        <w:t>ие дифференцированного учета; считывание кодов маркировки кассовым оборудованием; передачу в систему контроля кассового оборудования информации о реализации маркированных товаров.</w:t>
      </w:r>
    </w:p>
    <w:p w:rsidR="00271B50" w:rsidRDefault="003A547A">
      <w:pPr>
        <w:pStyle w:val="20"/>
        <w:shd w:val="clear" w:color="auto" w:fill="auto"/>
        <w:spacing w:line="341" w:lineRule="exact"/>
        <w:ind w:firstLine="800"/>
        <w:jc w:val="both"/>
      </w:pPr>
      <w:r>
        <w:t>При этом согласно части второй пункта 31 Положения об использовании кассовог</w:t>
      </w:r>
      <w:r>
        <w:t>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 924/16 «Об использовании кассового и иного оборудования при приеме средств платеж</w:t>
      </w:r>
      <w:r>
        <w:t>а» (далее - постановление № 924/16, Положение № 924/16), продажа товаров, подлежащих маркировке, осуществляется с использованием автоматического электронного аппарата, торгового автомата со встроенным кассовым суммирующим аппаратом с установленным средство</w:t>
      </w:r>
      <w:r>
        <w:t xml:space="preserve">м контроля налоговых органов или с установленной программной кассой либо взаимодействующих с </w:t>
      </w:r>
      <w:r>
        <w:t>программной кассой. Такие кассовый суммирующим аппарат и программная касса должны соответствовать требованиям пункта 10-1 Положения № 924/16.</w:t>
      </w:r>
    </w:p>
    <w:p w:rsidR="00271B50" w:rsidRDefault="003A547A">
      <w:pPr>
        <w:pStyle w:val="20"/>
        <w:shd w:val="clear" w:color="auto" w:fill="auto"/>
        <w:spacing w:line="341" w:lineRule="exact"/>
        <w:ind w:firstLine="780"/>
        <w:jc w:val="both"/>
      </w:pPr>
      <w:r>
        <w:t xml:space="preserve">В соответствии с </w:t>
      </w:r>
      <w:r>
        <w:t>подпунктом 1.11 пункта 1 Закона Республики Беларусь от 08.01.2014 № 128-З «О государственном регулировании торговли и общественного питания» торговые автоматы относятся к нестационарным торговым объектам, торговая площадь у которых отсутствует.</w:t>
      </w:r>
    </w:p>
    <w:p w:rsidR="00271B50" w:rsidRDefault="003A547A">
      <w:pPr>
        <w:pStyle w:val="20"/>
        <w:shd w:val="clear" w:color="auto" w:fill="auto"/>
        <w:spacing w:line="341" w:lineRule="exact"/>
        <w:ind w:firstLine="780"/>
        <w:jc w:val="both"/>
      </w:pPr>
      <w:r>
        <w:t>Таким образ</w:t>
      </w:r>
      <w:r>
        <w:t>ом, субъекты хозяйствования, осуществляющие реализацию маркированных товаров с использованием торговых автоматов, вправе применять положения постановления № 529/24 и до 1 марта 2029 г. не обеспечивать ведение дифференцированного учета, считывание кодов мар</w:t>
      </w:r>
      <w:r>
        <w:t>кировки кассовым оборудованием и передачу в систему контроля кассового оборудования информации о реализации маркированных товаров.</w:t>
      </w:r>
    </w:p>
    <w:p w:rsidR="00271B50" w:rsidRDefault="003A547A">
      <w:pPr>
        <w:pStyle w:val="20"/>
        <w:shd w:val="clear" w:color="auto" w:fill="auto"/>
        <w:spacing w:line="341" w:lineRule="exact"/>
        <w:ind w:firstLine="780"/>
        <w:jc w:val="both"/>
      </w:pPr>
      <w:r>
        <w:t xml:space="preserve">В настоящее время МНС совместно с заинтересованными </w:t>
      </w:r>
      <w:r>
        <w:lastRenderedPageBreak/>
        <w:t>осуществляется подготовка проекта постановления Совета Министров Респу</w:t>
      </w:r>
      <w:r>
        <w:t xml:space="preserve">блики Беларусь и Национального банка Республики Беларусь, предусматривающего возможность продажи товаров, подлежащих маркировке, с использованием торговых автоматов </w:t>
      </w:r>
      <w:r>
        <w:rPr>
          <w:rStyle w:val="21"/>
        </w:rPr>
        <w:t>при условии передачи информации</w:t>
      </w:r>
      <w:r>
        <w:t>, содержащейся в коде маркировки, в систему контроля кассово</w:t>
      </w:r>
      <w:r>
        <w:t xml:space="preserve">го оборудования посредством открытого интерфейса программирования приложений, предоставленного республиканским унитарным предприятием «Информационно-издательский центр по налогам и сборам» (далее - </w:t>
      </w:r>
      <w:r>
        <w:rPr>
          <w:lang w:val="en-US" w:eastAsia="en-US" w:bidi="en-US"/>
        </w:rPr>
        <w:t>API</w:t>
      </w:r>
      <w:r w:rsidRPr="003A547A">
        <w:rPr>
          <w:lang w:eastAsia="en-US" w:bidi="en-US"/>
        </w:rPr>
        <w:t xml:space="preserve">), </w:t>
      </w:r>
      <w:r>
        <w:t>до загрузки в торговый автомат товаров, подлежащих м</w:t>
      </w:r>
      <w:r>
        <w:t>аркировке, либо после их реализации.</w:t>
      </w:r>
    </w:p>
    <w:p w:rsidR="00271B50" w:rsidRDefault="003A547A">
      <w:pPr>
        <w:pStyle w:val="20"/>
        <w:shd w:val="clear" w:color="auto" w:fill="auto"/>
        <w:spacing w:line="341" w:lineRule="exact"/>
        <w:ind w:firstLine="780"/>
        <w:jc w:val="both"/>
      </w:pPr>
      <w:r>
        <w:t>Учитывая изложенное, субъекты хозяйствования могут начать</w:t>
      </w:r>
      <w:r>
        <w:t xml:space="preserve"> осуществлять подготовительные мероприятия по передаче информации о товарах, реализуемых с использованием торговых автоматов, посредством </w:t>
      </w:r>
      <w:r>
        <w:rPr>
          <w:lang w:val="en-US" w:eastAsia="en-US" w:bidi="en-US"/>
        </w:rPr>
        <w:t>API</w:t>
      </w:r>
      <w:r w:rsidRPr="003A547A">
        <w:rPr>
          <w:lang w:eastAsia="en-US" w:bidi="en-US"/>
        </w:rPr>
        <w:t xml:space="preserve"> </w:t>
      </w:r>
      <w:r>
        <w:t>в соответствии с подпунктом 2.4.2 доку</w:t>
      </w:r>
      <w:r>
        <w:t xml:space="preserve">мента «Инструкция по </w:t>
      </w:r>
      <w:r>
        <w:rPr>
          <w:lang w:val="en-US" w:eastAsia="en-US" w:bidi="en-US"/>
        </w:rPr>
        <w:t>API</w:t>
      </w:r>
      <w:r w:rsidRPr="003A547A">
        <w:rPr>
          <w:lang w:eastAsia="en-US" w:bidi="en-US"/>
        </w:rPr>
        <w:t xml:space="preserve">, </w:t>
      </w:r>
      <w:r>
        <w:t>версия 3.0».</w:t>
      </w:r>
    </w:p>
    <w:p w:rsidR="003A547A" w:rsidRDefault="003A547A">
      <w:pPr>
        <w:pStyle w:val="50"/>
        <w:shd w:val="clear" w:color="auto" w:fill="auto"/>
        <w:rPr>
          <w:b w:val="0"/>
        </w:rPr>
      </w:pPr>
      <w:r w:rsidRPr="003A547A">
        <w:t>Справочно:</w:t>
      </w:r>
      <w:r>
        <w:t xml:space="preserve"> </w:t>
      </w:r>
      <w:r w:rsidRPr="003A547A">
        <w:rPr>
          <w:b w:val="0"/>
        </w:rPr>
        <w:t>Информационные</w:t>
      </w:r>
      <w:r w:rsidRPr="003A547A">
        <w:rPr>
          <w:b w:val="0"/>
        </w:rPr>
        <w:t xml:space="preserve"> материалы для субъектов хозяйствования осуществляющих передачу данных в систему контроля кассового оборудования о товарах, подлежащих маркировке, посредством API, размещены по адресу </w:t>
      </w:r>
      <w:hyperlink r:id="rId6" w:history="1">
        <w:r w:rsidRPr="000655A8">
          <w:rPr>
            <w:rStyle w:val="a3"/>
            <w:b w:val="0"/>
          </w:rPr>
          <w:t>https://info-center.by/services/skko/info-about-marked/</w:t>
        </w:r>
      </w:hyperlink>
      <w:r>
        <w:rPr>
          <w:b w:val="0"/>
        </w:rPr>
        <w:t>.</w:t>
      </w:r>
    </w:p>
    <w:p w:rsidR="003A547A" w:rsidRDefault="003A547A">
      <w:pPr>
        <w:pStyle w:val="50"/>
        <w:shd w:val="clear" w:color="auto" w:fill="auto"/>
        <w:rPr>
          <w:b w:val="0"/>
        </w:rPr>
      </w:pPr>
    </w:p>
    <w:p w:rsidR="003A547A" w:rsidRPr="003A547A" w:rsidRDefault="003A547A" w:rsidP="003A547A">
      <w:pPr>
        <w:shd w:val="clear" w:color="auto" w:fill="FFFFFF"/>
        <w:ind w:firstLine="760"/>
        <w:jc w:val="right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3A547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Инспекция Министерства по налогам и сборам  </w:t>
      </w:r>
    </w:p>
    <w:p w:rsidR="003A547A" w:rsidRPr="003A547A" w:rsidRDefault="003A547A" w:rsidP="003A547A">
      <w:pPr>
        <w:ind w:firstLine="760"/>
        <w:jc w:val="right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3A547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                          Республики Беларусь по Смолевичскому району</w:t>
      </w:r>
    </w:p>
    <w:p w:rsidR="003A547A" w:rsidRPr="003A547A" w:rsidRDefault="003A547A" w:rsidP="003A547A">
      <w:pPr>
        <w:pStyle w:val="50"/>
        <w:shd w:val="clear" w:color="auto" w:fill="auto"/>
        <w:jc w:val="right"/>
        <w:rPr>
          <w:b w:val="0"/>
        </w:rPr>
      </w:pPr>
    </w:p>
    <w:p w:rsidR="003A547A" w:rsidRDefault="003A547A">
      <w:pPr>
        <w:pStyle w:val="50"/>
        <w:shd w:val="clear" w:color="auto" w:fill="auto"/>
      </w:pPr>
    </w:p>
    <w:p w:rsidR="003A547A" w:rsidRDefault="003A547A">
      <w:pPr>
        <w:pStyle w:val="50"/>
        <w:shd w:val="clear" w:color="auto" w:fill="auto"/>
      </w:pPr>
      <w:bookmarkStart w:id="0" w:name="_GoBack"/>
      <w:bookmarkEnd w:id="0"/>
    </w:p>
    <w:p w:rsidR="003A547A" w:rsidRDefault="003A547A">
      <w:pPr>
        <w:pStyle w:val="50"/>
        <w:shd w:val="clear" w:color="auto" w:fill="auto"/>
      </w:pPr>
    </w:p>
    <w:p w:rsidR="003A547A" w:rsidRDefault="003A547A">
      <w:pPr>
        <w:pStyle w:val="50"/>
        <w:shd w:val="clear" w:color="auto" w:fill="auto"/>
      </w:pPr>
    </w:p>
    <w:p w:rsidR="003A547A" w:rsidRDefault="003A547A">
      <w:pPr>
        <w:pStyle w:val="50"/>
        <w:shd w:val="clear" w:color="auto" w:fill="auto"/>
      </w:pPr>
    </w:p>
    <w:p w:rsidR="003A547A" w:rsidRDefault="003A547A">
      <w:pPr>
        <w:pStyle w:val="50"/>
        <w:shd w:val="clear" w:color="auto" w:fill="auto"/>
      </w:pPr>
    </w:p>
    <w:p w:rsidR="003A547A" w:rsidRDefault="003A547A">
      <w:pPr>
        <w:pStyle w:val="50"/>
        <w:shd w:val="clear" w:color="auto" w:fill="auto"/>
      </w:pPr>
    </w:p>
    <w:p w:rsidR="003A547A" w:rsidRDefault="003A547A">
      <w:pPr>
        <w:pStyle w:val="50"/>
        <w:shd w:val="clear" w:color="auto" w:fill="auto"/>
      </w:pPr>
    </w:p>
    <w:p w:rsidR="003A547A" w:rsidRDefault="003A547A">
      <w:pPr>
        <w:pStyle w:val="50"/>
        <w:shd w:val="clear" w:color="auto" w:fill="auto"/>
      </w:pPr>
    </w:p>
    <w:p w:rsidR="003A547A" w:rsidRDefault="003A547A">
      <w:pPr>
        <w:pStyle w:val="50"/>
        <w:shd w:val="clear" w:color="auto" w:fill="auto"/>
      </w:pPr>
    </w:p>
    <w:p w:rsidR="003A547A" w:rsidRDefault="003A547A">
      <w:pPr>
        <w:pStyle w:val="50"/>
        <w:shd w:val="clear" w:color="auto" w:fill="auto"/>
      </w:pPr>
    </w:p>
    <w:p w:rsidR="003A547A" w:rsidRDefault="003A547A">
      <w:pPr>
        <w:pStyle w:val="50"/>
        <w:shd w:val="clear" w:color="auto" w:fill="auto"/>
      </w:pPr>
    </w:p>
    <w:p w:rsidR="00271B50" w:rsidRDefault="003A547A" w:rsidP="003A547A">
      <w:pPr>
        <w:pStyle w:val="6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254000" distL="1764665" distR="63500" simplePos="0" relativeHeight="251657728" behindDoc="1" locked="0" layoutInCell="1" allowOverlap="1">
                <wp:simplePos x="0" y="0"/>
                <wp:positionH relativeFrom="margin">
                  <wp:posOffset>4351020</wp:posOffset>
                </wp:positionH>
                <wp:positionV relativeFrom="paragraph">
                  <wp:posOffset>-24130</wp:posOffset>
                </wp:positionV>
                <wp:extent cx="1024255" cy="190500"/>
                <wp:effectExtent l="0" t="1905" r="4445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B50" w:rsidRDefault="00271B50">
                            <w:pPr>
                              <w:pStyle w:val="20"/>
                              <w:shd w:val="clear" w:color="auto" w:fill="auto"/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.6pt;margin-top:-1.9pt;width:80.65pt;height:15pt;z-index:-251658752;visibility:visible;mso-wrap-style:square;mso-width-percent:0;mso-height-percent:0;mso-wrap-distance-left:138.9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" filled="f" stroked="f">
                <v:textbox style="mso-fit-shape-to-text:t" inset="0,0,0,0">
                  <w:txbxContent>
                    <w:p w:rsidR="00271B50" w:rsidRDefault="00271B50">
                      <w:pPr>
                        <w:pStyle w:val="20"/>
                        <w:shd w:val="clear" w:color="auto" w:fill="auto"/>
                        <w:spacing w:line="30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lang w:eastAsia="en-US" w:bidi="en-US"/>
        </w:rPr>
        <w:t>.</w:t>
      </w:r>
    </w:p>
    <w:sectPr w:rsidR="00271B50" w:rsidSect="003A547A">
      <w:headerReference w:type="default" r:id="rId7"/>
      <w:footerReference w:type="default" r:id="rId8"/>
      <w:type w:val="continuous"/>
      <w:pgSz w:w="11900" w:h="16840"/>
      <w:pgMar w:top="567" w:right="528" w:bottom="1442" w:left="16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47A" w:rsidRDefault="003A547A">
      <w:r>
        <w:separator/>
      </w:r>
    </w:p>
  </w:endnote>
  <w:endnote w:type="continuationSeparator" w:id="0">
    <w:p w:rsidR="003A547A" w:rsidRDefault="003A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B50" w:rsidRDefault="00271B5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47A" w:rsidRDefault="003A547A"/>
  </w:footnote>
  <w:footnote w:type="continuationSeparator" w:id="0">
    <w:p w:rsidR="003A547A" w:rsidRDefault="003A54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B50" w:rsidRDefault="00271B50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50"/>
    <w:rsid w:val="00271B50"/>
    <w:rsid w:val="003A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89FA4A"/>
  <w15:docId w15:val="{F389FDF3-B841-4FE0-AC66-88AA9A05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pt">
    <w:name w:val="Колонтитул + 1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322" w:lineRule="exact"/>
      <w:ind w:firstLine="4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41" w:lineRule="exact"/>
      <w:ind w:firstLine="780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41" w:lineRule="exact"/>
      <w:ind w:firstLine="78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character" w:styleId="a7">
    <w:name w:val="Unresolved Mention"/>
    <w:basedOn w:val="a0"/>
    <w:uiPriority w:val="99"/>
    <w:semiHidden/>
    <w:unhideWhenUsed/>
    <w:rsid w:val="003A5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-center.by/services/skko/info-about-marke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KOLEDA_T_L</dc:creator>
  <cp:lastModifiedBy>Коледа Татьяна Леонидовна</cp:lastModifiedBy>
  <cp:revision>1</cp:revision>
  <dcterms:created xsi:type="dcterms:W3CDTF">2025-12-04T11:59:00Z</dcterms:created>
  <dcterms:modified xsi:type="dcterms:W3CDTF">2025-12-04T12:09:00Z</dcterms:modified>
</cp:coreProperties>
</file>