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F4B1E" w14:textId="77777777" w:rsidR="00D72B32" w:rsidRPr="00AC74C2" w:rsidRDefault="00D72B32" w:rsidP="00B70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bookmarkStart w:id="0" w:name="_Hlk219109678"/>
      <w:bookmarkStart w:id="1" w:name="_GoBack"/>
      <w:r w:rsidRPr="00AC74C2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 применении кассового оборудования при реализации</w:t>
      </w:r>
    </w:p>
    <w:p w14:paraId="5A91A96B" w14:textId="36DD9EBD" w:rsidR="00D72B32" w:rsidRPr="00AC74C2" w:rsidRDefault="00D72B32" w:rsidP="00B70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AC74C2">
        <w:rPr>
          <w:rFonts w:ascii="Times New Roman" w:hAnsi="Times New Roman" w:cs="Times New Roman"/>
          <w:b/>
          <w:bCs/>
          <w:color w:val="000000"/>
          <w:sz w:val="30"/>
          <w:szCs w:val="30"/>
        </w:rPr>
        <w:t>ювелирных и других изделий</w:t>
      </w:r>
      <w:bookmarkEnd w:id="0"/>
      <w:bookmarkEnd w:id="1"/>
    </w:p>
    <w:p w14:paraId="6F1F7B45" w14:textId="77777777" w:rsidR="00B70718" w:rsidRPr="00AC74C2" w:rsidRDefault="00B70718" w:rsidP="00B70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37A68E28" w14:textId="02531F45" w:rsidR="00D72B32" w:rsidRPr="00AC74C2" w:rsidRDefault="00D72B32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C74C2">
        <w:rPr>
          <w:rFonts w:ascii="Times New Roman" w:hAnsi="Times New Roman" w:cs="Times New Roman"/>
          <w:color w:val="000000"/>
          <w:sz w:val="30"/>
          <w:szCs w:val="30"/>
        </w:rPr>
        <w:t>В связи со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вступлением в силу с 1 января 2026 г. Указа Президента Республики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Беларусь от 21.10.2025 № 378 </w:t>
      </w:r>
      <w:r w:rsidR="00D5294F">
        <w:rPr>
          <w:rFonts w:ascii="Times New Roman" w:hAnsi="Times New Roman" w:cs="Times New Roman"/>
          <w:color w:val="000000"/>
          <w:sz w:val="30"/>
          <w:szCs w:val="30"/>
        </w:rPr>
        <w:t>«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О маркировке ювелирных и других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изделий</w:t>
      </w:r>
      <w:r w:rsidR="00D5294F">
        <w:rPr>
          <w:rFonts w:ascii="Times New Roman" w:hAnsi="Times New Roman" w:cs="Times New Roman"/>
          <w:color w:val="000000"/>
          <w:sz w:val="30"/>
          <w:szCs w:val="30"/>
        </w:rPr>
        <w:t>»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(далее – Указ № 378) Министерство по налогам и сборам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сообщает.</w:t>
      </w:r>
    </w:p>
    <w:p w14:paraId="12FC7C32" w14:textId="2A70DED2" w:rsidR="00D72B32" w:rsidRPr="00AC74C2" w:rsidRDefault="00D72B32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C74C2">
        <w:rPr>
          <w:rFonts w:ascii="Times New Roman" w:hAnsi="Times New Roman" w:cs="Times New Roman"/>
          <w:color w:val="000000"/>
          <w:sz w:val="30"/>
          <w:szCs w:val="30"/>
        </w:rPr>
        <w:t>В соответствии с подпунктом 1.7 пункта 1 Указа № 378 прием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платежей при продаже ювелирных и других изделий осуществляется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наличными денежными средствами и в безналичной форме в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соответствии с законодательством в области платежных систем и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платежных услуг, а также с законодательством об использовании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кассового и иного оборудования при приеме средств платежа с</w:t>
      </w:r>
      <w:r w:rsidR="003F216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использованием платежных терминалов и </w:t>
      </w:r>
      <w:r w:rsidRPr="00AC74C2">
        <w:rPr>
          <w:rFonts w:ascii="Times New Roman" w:hAnsi="Times New Roman" w:cs="Times New Roman"/>
          <w:b/>
          <w:bCs/>
          <w:color w:val="000000"/>
          <w:sz w:val="30"/>
          <w:szCs w:val="30"/>
        </w:rPr>
        <w:t>кассового оборудования,</w:t>
      </w:r>
      <w:r w:rsidR="00B70718" w:rsidRPr="00AC74C2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обеспечивающего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:</w:t>
      </w:r>
    </w:p>
    <w:p w14:paraId="4650B9D1" w14:textId="6CC5B5F6" w:rsidR="00D72B32" w:rsidRPr="00AC74C2" w:rsidRDefault="00D72B32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C74C2">
        <w:rPr>
          <w:rFonts w:ascii="Times New Roman" w:hAnsi="Times New Roman" w:cs="Times New Roman"/>
          <w:color w:val="000000"/>
          <w:sz w:val="30"/>
          <w:szCs w:val="30"/>
        </w:rPr>
        <w:t>считывание средства идентификации, нанесенного на каждую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единицу ювелирных и других изделий;</w:t>
      </w:r>
    </w:p>
    <w:p w14:paraId="29E2BCA0" w14:textId="68285342" w:rsidR="00D72B32" w:rsidRPr="00AC74C2" w:rsidRDefault="00D72B32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C74C2">
        <w:rPr>
          <w:rFonts w:ascii="Times New Roman" w:hAnsi="Times New Roman" w:cs="Times New Roman"/>
          <w:color w:val="000000"/>
          <w:sz w:val="30"/>
          <w:szCs w:val="30"/>
        </w:rPr>
        <w:t>дифференцированный учет данных о реализуемых ювелирных и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других изделиях с использованием единого для всех маркируемых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средствами идентификации ювелирных и других изделий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идентификационного номера товара (глобального номера торговой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единицы - </w:t>
      </w:r>
      <w:proofErr w:type="spellStart"/>
      <w:r w:rsidRPr="00AC74C2">
        <w:rPr>
          <w:rFonts w:ascii="Times New Roman" w:hAnsi="Times New Roman" w:cs="Times New Roman"/>
          <w:color w:val="000000"/>
          <w:sz w:val="30"/>
          <w:szCs w:val="30"/>
        </w:rPr>
        <w:t>Global</w:t>
      </w:r>
      <w:proofErr w:type="spellEnd"/>
      <w:r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AC74C2">
        <w:rPr>
          <w:rFonts w:ascii="Times New Roman" w:hAnsi="Times New Roman" w:cs="Times New Roman"/>
          <w:color w:val="000000"/>
          <w:sz w:val="30"/>
          <w:szCs w:val="30"/>
        </w:rPr>
        <w:t>Trade</w:t>
      </w:r>
      <w:proofErr w:type="spellEnd"/>
      <w:r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AC74C2">
        <w:rPr>
          <w:rFonts w:ascii="Times New Roman" w:hAnsi="Times New Roman" w:cs="Times New Roman"/>
          <w:color w:val="000000"/>
          <w:sz w:val="30"/>
          <w:szCs w:val="30"/>
        </w:rPr>
        <w:t>Item</w:t>
      </w:r>
      <w:proofErr w:type="spellEnd"/>
      <w:r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AC74C2">
        <w:rPr>
          <w:rFonts w:ascii="Times New Roman" w:hAnsi="Times New Roman" w:cs="Times New Roman"/>
          <w:color w:val="000000"/>
          <w:sz w:val="30"/>
          <w:szCs w:val="30"/>
        </w:rPr>
        <w:t>Number</w:t>
      </w:r>
      <w:proofErr w:type="spellEnd"/>
      <w:r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(GTIN), сведения о котором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содержатся в межведомственной распределенной информационной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системе ”Банк данных электронных паспортов товаров“;</w:t>
      </w:r>
    </w:p>
    <w:p w14:paraId="7D91F00D" w14:textId="693C0B68" w:rsidR="00D72B32" w:rsidRPr="00AC74C2" w:rsidRDefault="00D72B32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C74C2">
        <w:rPr>
          <w:rFonts w:ascii="Times New Roman" w:hAnsi="Times New Roman" w:cs="Times New Roman"/>
          <w:color w:val="000000"/>
          <w:sz w:val="30"/>
          <w:szCs w:val="30"/>
        </w:rPr>
        <w:t>передачу сведений о коде маркировки в систему контроля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кассового оборудования в соответствии с требованиями, определенными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Министерством по налогам и сборам и Государственным комитетом по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стандартизации к кассовым суммирующим аппаратам, Министерством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по налогам и сборам – к программным кассам;</w:t>
      </w:r>
    </w:p>
    <w:p w14:paraId="104A66D3" w14:textId="4F6CA82C" w:rsidR="00D72B32" w:rsidRPr="00AC74C2" w:rsidRDefault="00D72B32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C74C2">
        <w:rPr>
          <w:rFonts w:ascii="Times New Roman" w:hAnsi="Times New Roman" w:cs="Times New Roman"/>
          <w:color w:val="000000"/>
          <w:sz w:val="30"/>
          <w:szCs w:val="30"/>
        </w:rPr>
        <w:t>формирование в платежном документе помимо иных сведений,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определенных в требованиях к кассовому оборудованию, наименования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товара.</w:t>
      </w:r>
    </w:p>
    <w:p w14:paraId="6EDDFFBF" w14:textId="31B652B2" w:rsidR="00D72B32" w:rsidRPr="00AC74C2" w:rsidRDefault="00D72B32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C74C2">
        <w:rPr>
          <w:rFonts w:ascii="Times New Roman" w:hAnsi="Times New Roman" w:cs="Times New Roman"/>
          <w:color w:val="000000"/>
          <w:sz w:val="30"/>
          <w:szCs w:val="30"/>
        </w:rPr>
        <w:t>Для обеспечения выполнения указанного порядка субъектам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хозяйствования, осуществляющим реализацию ювелирных и других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изделий, необходимо:</w:t>
      </w:r>
    </w:p>
    <w:p w14:paraId="02F9C6F6" w14:textId="61A1877B" w:rsidR="00D72B32" w:rsidRPr="00AC74C2" w:rsidRDefault="00D72B32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C74C2">
        <w:rPr>
          <w:rFonts w:ascii="Times New Roman" w:hAnsi="Times New Roman" w:cs="Times New Roman"/>
          <w:color w:val="000000"/>
          <w:sz w:val="30"/>
          <w:szCs w:val="30"/>
        </w:rPr>
        <w:t>1. Установить и использовать кассовое оборудование (кассовые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суммирующие аппараты или программные кассы), обеспечивающее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реализацию маркированных товаров.</w:t>
      </w:r>
    </w:p>
    <w:p w14:paraId="435278B3" w14:textId="77777777" w:rsidR="00D72B32" w:rsidRPr="00AC74C2" w:rsidRDefault="00D72B32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30"/>
          <w:szCs w:val="30"/>
        </w:rPr>
      </w:pPr>
      <w:proofErr w:type="spellStart"/>
      <w:r w:rsidRPr="00AC74C2">
        <w:rPr>
          <w:rFonts w:ascii="Times New Roman" w:hAnsi="Times New Roman" w:cs="Times New Roman"/>
          <w:i/>
          <w:iCs/>
          <w:color w:val="000000"/>
          <w:sz w:val="30"/>
          <w:szCs w:val="30"/>
        </w:rPr>
        <w:t>Справочно</w:t>
      </w:r>
      <w:proofErr w:type="spellEnd"/>
      <w:r w:rsidRPr="00AC74C2">
        <w:rPr>
          <w:rFonts w:ascii="Times New Roman" w:hAnsi="Times New Roman" w:cs="Times New Roman"/>
          <w:i/>
          <w:iCs/>
          <w:color w:val="000000"/>
          <w:sz w:val="30"/>
          <w:szCs w:val="30"/>
        </w:rPr>
        <w:t>:</w:t>
      </w:r>
    </w:p>
    <w:p w14:paraId="5265A508" w14:textId="6016CAB6" w:rsidR="00D72B32" w:rsidRPr="00AC74C2" w:rsidRDefault="00D72B32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30"/>
          <w:szCs w:val="30"/>
        </w:rPr>
      </w:pPr>
      <w:r w:rsidRPr="00AC74C2">
        <w:rPr>
          <w:rFonts w:ascii="Times New Roman" w:hAnsi="Times New Roman" w:cs="Times New Roman"/>
          <w:i/>
          <w:iCs/>
          <w:color w:val="000000"/>
          <w:sz w:val="30"/>
          <w:szCs w:val="30"/>
        </w:rPr>
        <w:t>Перечни моделей (модификаций) кассового оборудования,</w:t>
      </w:r>
      <w:r w:rsidR="00B70718" w:rsidRPr="00AC74C2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i/>
          <w:iCs/>
          <w:color w:val="000000"/>
          <w:sz w:val="30"/>
          <w:szCs w:val="30"/>
        </w:rPr>
        <w:t>соответствующих требованиям, определенным Министерством по</w:t>
      </w:r>
      <w:r w:rsidR="00B70718" w:rsidRPr="00AC74C2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i/>
          <w:iCs/>
          <w:color w:val="000000"/>
          <w:sz w:val="30"/>
          <w:szCs w:val="30"/>
        </w:rPr>
        <w:t>налогам и сборам и Государственным комитетом по стандартизации к</w:t>
      </w:r>
      <w:r w:rsidR="00B70718" w:rsidRPr="00AC74C2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i/>
          <w:iCs/>
          <w:color w:val="000000"/>
          <w:sz w:val="30"/>
          <w:szCs w:val="30"/>
        </w:rPr>
        <w:t>кассовым суммирующим аппаратам, Министерством по налогам и</w:t>
      </w:r>
      <w:r w:rsidR="00B70718" w:rsidRPr="00AC74C2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сборам </w:t>
      </w:r>
      <w:r w:rsidRPr="00AC74C2">
        <w:rPr>
          <w:rFonts w:ascii="Times New Roman" w:hAnsi="Times New Roman" w:cs="Times New Roman"/>
          <w:i/>
          <w:iCs/>
          <w:color w:val="000000"/>
          <w:sz w:val="30"/>
          <w:szCs w:val="30"/>
        </w:rPr>
        <w:lastRenderedPageBreak/>
        <w:t>– к программным кассам, размещены на сайте МНС по адресу</w:t>
      </w:r>
      <w:r w:rsidR="00B70718" w:rsidRPr="00AC74C2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i/>
          <w:iCs/>
          <w:color w:val="0000FF"/>
          <w:sz w:val="30"/>
          <w:szCs w:val="30"/>
        </w:rPr>
        <w:t>https://nalog.gov.by/tax_control/payment_control/list_of_models/</w:t>
      </w:r>
      <w:r w:rsidRPr="00AC74C2">
        <w:rPr>
          <w:rFonts w:ascii="Times New Roman" w:hAnsi="Times New Roman" w:cs="Times New Roman"/>
          <w:i/>
          <w:iCs/>
          <w:color w:val="000000"/>
          <w:sz w:val="30"/>
          <w:szCs w:val="30"/>
        </w:rPr>
        <w:t>.</w:t>
      </w:r>
    </w:p>
    <w:p w14:paraId="6AFEA606" w14:textId="50C27562" w:rsidR="00D72B32" w:rsidRPr="00AC74C2" w:rsidRDefault="00D72B32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C74C2">
        <w:rPr>
          <w:rFonts w:ascii="Times New Roman" w:hAnsi="Times New Roman" w:cs="Times New Roman"/>
          <w:color w:val="000000"/>
          <w:sz w:val="30"/>
          <w:szCs w:val="30"/>
        </w:rPr>
        <w:t>2. Обеспечить ведение дифференцированного учета данных о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реализуемых ювелирных и других изделиях с использованием </w:t>
      </w:r>
      <w:r w:rsidRPr="00AC74C2">
        <w:rPr>
          <w:rFonts w:ascii="Times New Roman" w:hAnsi="Times New Roman" w:cs="Times New Roman"/>
          <w:b/>
          <w:bCs/>
          <w:color w:val="000000"/>
          <w:sz w:val="30"/>
          <w:szCs w:val="30"/>
        </w:rPr>
        <w:t>единого</w:t>
      </w:r>
      <w:r w:rsidR="00B70718" w:rsidRPr="00AC74C2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b/>
          <w:bCs/>
          <w:color w:val="000000"/>
          <w:sz w:val="30"/>
          <w:szCs w:val="30"/>
        </w:rPr>
        <w:t>для всех маркируемых средствами идентификации ювелирных и</w:t>
      </w:r>
      <w:r w:rsidR="00B70718" w:rsidRPr="00AC74C2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других изделий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идентификационного номера товара (глобального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номера торговой единицы - </w:t>
      </w:r>
      <w:proofErr w:type="spellStart"/>
      <w:r w:rsidRPr="00AC74C2">
        <w:rPr>
          <w:rFonts w:ascii="Times New Roman" w:hAnsi="Times New Roman" w:cs="Times New Roman"/>
          <w:color w:val="000000"/>
          <w:sz w:val="30"/>
          <w:szCs w:val="30"/>
        </w:rPr>
        <w:t>Global</w:t>
      </w:r>
      <w:proofErr w:type="spellEnd"/>
      <w:r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AC74C2">
        <w:rPr>
          <w:rFonts w:ascii="Times New Roman" w:hAnsi="Times New Roman" w:cs="Times New Roman"/>
          <w:color w:val="000000"/>
          <w:sz w:val="30"/>
          <w:szCs w:val="30"/>
        </w:rPr>
        <w:t>Trade</w:t>
      </w:r>
      <w:proofErr w:type="spellEnd"/>
      <w:r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AC74C2">
        <w:rPr>
          <w:rFonts w:ascii="Times New Roman" w:hAnsi="Times New Roman" w:cs="Times New Roman"/>
          <w:color w:val="000000"/>
          <w:sz w:val="30"/>
          <w:szCs w:val="30"/>
        </w:rPr>
        <w:t>Item</w:t>
      </w:r>
      <w:proofErr w:type="spellEnd"/>
      <w:r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AC74C2">
        <w:rPr>
          <w:rFonts w:ascii="Times New Roman" w:hAnsi="Times New Roman" w:cs="Times New Roman"/>
          <w:color w:val="000000"/>
          <w:sz w:val="30"/>
          <w:szCs w:val="30"/>
        </w:rPr>
        <w:t>Number</w:t>
      </w:r>
      <w:proofErr w:type="spellEnd"/>
      <w:r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(GTIN), а также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отображение в платежном документе наименования товара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56CD3D22" w14:textId="57E3A2CE" w:rsidR="00D72B32" w:rsidRPr="00AC74C2" w:rsidRDefault="00D72B32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C74C2">
        <w:rPr>
          <w:rFonts w:ascii="Times New Roman" w:hAnsi="Times New Roman" w:cs="Times New Roman"/>
          <w:color w:val="000000"/>
          <w:sz w:val="30"/>
          <w:szCs w:val="30"/>
        </w:rPr>
        <w:t>Учитывая особенности производства ювелирных изделий и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нецелесообразность присвоения каждому из них уникального GTIN, при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реализации в объектах розничной торговли маркированных ювелирных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и других изделий используется единый GTIN, зарегистрированный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оператором государственной информационной системы маркировки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товаров унифицированными контрольными знаками или средствами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идентификации (далее – система маркировки) РУП </w:t>
      </w:r>
      <w:r w:rsidR="00D5294F">
        <w:rPr>
          <w:rFonts w:ascii="Times New Roman" w:hAnsi="Times New Roman" w:cs="Times New Roman"/>
          <w:color w:val="000000"/>
          <w:sz w:val="30"/>
          <w:szCs w:val="30"/>
        </w:rPr>
        <w:t>«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Издательство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D5294F">
        <w:rPr>
          <w:rFonts w:ascii="Times New Roman" w:hAnsi="Times New Roman" w:cs="Times New Roman"/>
          <w:color w:val="000000"/>
          <w:sz w:val="30"/>
          <w:szCs w:val="30"/>
        </w:rPr>
        <w:t>«</w:t>
      </w:r>
      <w:proofErr w:type="spellStart"/>
      <w:r w:rsidRPr="00AC74C2">
        <w:rPr>
          <w:rFonts w:ascii="Times New Roman" w:hAnsi="Times New Roman" w:cs="Times New Roman"/>
          <w:color w:val="000000"/>
          <w:sz w:val="30"/>
          <w:szCs w:val="30"/>
        </w:rPr>
        <w:t>Белбланкавыд</w:t>
      </w:r>
      <w:proofErr w:type="spellEnd"/>
      <w:r w:rsidR="00D5294F">
        <w:rPr>
          <w:rFonts w:ascii="Times New Roman" w:hAnsi="Times New Roman" w:cs="Times New Roman"/>
          <w:color w:val="000000"/>
          <w:sz w:val="30"/>
          <w:szCs w:val="30"/>
        </w:rPr>
        <w:t>»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в межведомственной распределенной информационной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системе </w:t>
      </w:r>
      <w:r w:rsidR="00D5294F">
        <w:rPr>
          <w:rFonts w:ascii="Times New Roman" w:hAnsi="Times New Roman" w:cs="Times New Roman"/>
          <w:color w:val="000000"/>
          <w:sz w:val="30"/>
          <w:szCs w:val="30"/>
        </w:rPr>
        <w:t>«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Банк данных электронных паспортов товаров</w:t>
      </w:r>
      <w:r w:rsidR="00D5294F">
        <w:rPr>
          <w:rFonts w:ascii="Times New Roman" w:hAnsi="Times New Roman" w:cs="Times New Roman"/>
          <w:color w:val="000000"/>
          <w:sz w:val="30"/>
          <w:szCs w:val="30"/>
        </w:rPr>
        <w:t>»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7C65284F" w14:textId="7BF6632E" w:rsidR="00D72B32" w:rsidRPr="00AC74C2" w:rsidRDefault="00D72B32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C74C2">
        <w:rPr>
          <w:rFonts w:ascii="Times New Roman" w:hAnsi="Times New Roman" w:cs="Times New Roman"/>
          <w:color w:val="000000"/>
          <w:sz w:val="30"/>
          <w:szCs w:val="30"/>
        </w:rPr>
        <w:t>Таким образом, за получением единого GTIN необходимо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обращаться к оператору системы маркировки – РУП </w:t>
      </w:r>
      <w:r w:rsidR="00D5294F">
        <w:rPr>
          <w:rFonts w:ascii="Times New Roman" w:hAnsi="Times New Roman" w:cs="Times New Roman"/>
          <w:color w:val="000000"/>
          <w:sz w:val="30"/>
          <w:szCs w:val="30"/>
        </w:rPr>
        <w:t>«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Издательство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D5294F">
        <w:rPr>
          <w:rFonts w:ascii="Times New Roman" w:hAnsi="Times New Roman" w:cs="Times New Roman"/>
          <w:color w:val="000000"/>
          <w:sz w:val="30"/>
          <w:szCs w:val="30"/>
        </w:rPr>
        <w:t>«</w:t>
      </w:r>
      <w:proofErr w:type="spellStart"/>
      <w:r w:rsidRPr="00AC74C2">
        <w:rPr>
          <w:rFonts w:ascii="Times New Roman" w:hAnsi="Times New Roman" w:cs="Times New Roman"/>
          <w:color w:val="000000"/>
          <w:sz w:val="30"/>
          <w:szCs w:val="30"/>
        </w:rPr>
        <w:t>Белбланкавыд</w:t>
      </w:r>
      <w:proofErr w:type="spellEnd"/>
      <w:r w:rsidR="00D5294F">
        <w:rPr>
          <w:rFonts w:ascii="Times New Roman" w:hAnsi="Times New Roman" w:cs="Times New Roman"/>
          <w:color w:val="000000"/>
          <w:sz w:val="30"/>
          <w:szCs w:val="30"/>
        </w:rPr>
        <w:t>»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65026EC7" w14:textId="2FCE6251" w:rsidR="00D72B32" w:rsidRPr="00AC74C2" w:rsidRDefault="00D72B32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C74C2">
        <w:rPr>
          <w:rFonts w:ascii="Times New Roman" w:hAnsi="Times New Roman" w:cs="Times New Roman"/>
          <w:color w:val="000000"/>
          <w:sz w:val="30"/>
          <w:szCs w:val="30"/>
        </w:rPr>
        <w:t>Считывание кода маркировки может обеспечиваться с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использованием сканера штрихкода, камеры программной кассы и иных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устройств.</w:t>
      </w:r>
    </w:p>
    <w:p w14:paraId="1913FE3E" w14:textId="6FAF750C" w:rsidR="00D72B32" w:rsidRPr="00AC74C2" w:rsidRDefault="00D72B32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30"/>
          <w:szCs w:val="30"/>
        </w:rPr>
      </w:pPr>
      <w:r w:rsidRPr="00AC74C2">
        <w:rPr>
          <w:rFonts w:ascii="Times New Roman" w:hAnsi="Times New Roman" w:cs="Times New Roman"/>
          <w:color w:val="000000"/>
          <w:sz w:val="30"/>
          <w:szCs w:val="30"/>
        </w:rPr>
        <w:t>Рекомендуемый перечень сканеров штрихкода для работы с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маркировкой размещен на сайте оператора государственной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информационной системы маркировки товаров унифицированными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контрольными знаками или средствами идентификации РУП</w:t>
      </w:r>
      <w:r w:rsidR="00B70718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«Издательство «</w:t>
      </w:r>
      <w:proofErr w:type="spellStart"/>
      <w:r w:rsidRPr="00AC74C2">
        <w:rPr>
          <w:rFonts w:ascii="Times New Roman" w:hAnsi="Times New Roman" w:cs="Times New Roman"/>
          <w:color w:val="000000"/>
          <w:sz w:val="30"/>
          <w:szCs w:val="30"/>
        </w:rPr>
        <w:t>Белбланкавыд</w:t>
      </w:r>
      <w:proofErr w:type="spellEnd"/>
      <w:r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» </w:t>
      </w:r>
      <w:r w:rsidRPr="00AC74C2">
        <w:rPr>
          <w:rFonts w:ascii="Times New Roman" w:hAnsi="Times New Roman" w:cs="Times New Roman"/>
          <w:color w:val="002060"/>
          <w:sz w:val="30"/>
          <w:szCs w:val="30"/>
        </w:rPr>
        <w:t>https://datamark.by/nastrojka-skanera/.</w:t>
      </w:r>
    </w:p>
    <w:p w14:paraId="2EED3805" w14:textId="577C86DE" w:rsidR="00D72B32" w:rsidRPr="00AC74C2" w:rsidRDefault="00D72B32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C74C2">
        <w:rPr>
          <w:rFonts w:ascii="Times New Roman" w:hAnsi="Times New Roman" w:cs="Times New Roman"/>
          <w:color w:val="000000"/>
          <w:sz w:val="30"/>
          <w:szCs w:val="30"/>
        </w:rPr>
        <w:t>Дифференцированный учет данных о реализации товаров может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быть обеспечен в кассовом оборудовании 2 способами:</w:t>
      </w:r>
    </w:p>
    <w:p w14:paraId="044DCBF5" w14:textId="4276BB42" w:rsidR="00D72B32" w:rsidRPr="00AC74C2" w:rsidRDefault="00D72B32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C74C2">
        <w:rPr>
          <w:rFonts w:ascii="Times New Roman" w:hAnsi="Times New Roman" w:cs="Times New Roman"/>
          <w:color w:val="000000"/>
          <w:sz w:val="30"/>
          <w:szCs w:val="30"/>
        </w:rPr>
        <w:t>1 способ – с использованием внутренней базы товаров (хранящейся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в памяти кассового аппарата, программном обеспечении программной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кассы или внешних носителях информации);</w:t>
      </w:r>
    </w:p>
    <w:p w14:paraId="72DB670E" w14:textId="56B010B0" w:rsidR="00D72B32" w:rsidRPr="00AC74C2" w:rsidRDefault="00D72B32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C74C2">
        <w:rPr>
          <w:rFonts w:ascii="Times New Roman" w:hAnsi="Times New Roman" w:cs="Times New Roman"/>
          <w:color w:val="000000"/>
          <w:sz w:val="30"/>
          <w:szCs w:val="30"/>
        </w:rPr>
        <w:t>2 способ – взаимодействием с внешней базой товаров (в составе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кассовой компьютерной системы (в отношении кассовых аппаратов)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либо взаимодействующее с товарно-учетной системой субъекта торговли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(в отношении программных касс).</w:t>
      </w:r>
    </w:p>
    <w:p w14:paraId="60955DA0" w14:textId="65C8C13B" w:rsidR="00D72B32" w:rsidRPr="00AC74C2" w:rsidRDefault="00D72B32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C74C2">
        <w:rPr>
          <w:rFonts w:ascii="Times New Roman" w:hAnsi="Times New Roman" w:cs="Times New Roman"/>
          <w:color w:val="000000"/>
          <w:sz w:val="30"/>
          <w:szCs w:val="30"/>
        </w:rPr>
        <w:t>В кассовом оборудовании предусмотрена возможность внесения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единого GTIN для организации дифференцированного учета. При этом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обеспечить дополнительное описание товаров, позволяющих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конкретизировать наименование, массу, характеристики вставок, а также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присвоить цену каждой единице товара возможно путем использования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дополнительного </w:t>
      </w:r>
      <w:proofErr w:type="gramStart"/>
      <w:r w:rsidRPr="00AC74C2">
        <w:rPr>
          <w:rFonts w:ascii="Times New Roman" w:hAnsi="Times New Roman" w:cs="Times New Roman"/>
          <w:color w:val="000000"/>
          <w:sz w:val="30"/>
          <w:szCs w:val="30"/>
        </w:rPr>
        <w:t>поля ”Артикул</w:t>
      </w:r>
      <w:proofErr w:type="gramEnd"/>
      <w:r w:rsidRPr="00AC74C2">
        <w:rPr>
          <w:rFonts w:ascii="Times New Roman" w:hAnsi="Times New Roman" w:cs="Times New Roman"/>
          <w:color w:val="000000"/>
          <w:sz w:val="30"/>
          <w:szCs w:val="30"/>
        </w:rPr>
        <w:t>“ либо с использованием иного способа,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lastRenderedPageBreak/>
        <w:t>реализованного в конкретной модели (модификации) кассового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оборудования.</w:t>
      </w:r>
    </w:p>
    <w:p w14:paraId="47B1F98E" w14:textId="4BAF296E" w:rsidR="00D72B32" w:rsidRPr="00AC74C2" w:rsidRDefault="00D72B32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C74C2">
        <w:rPr>
          <w:rFonts w:ascii="Times New Roman" w:hAnsi="Times New Roman" w:cs="Times New Roman"/>
          <w:color w:val="000000"/>
          <w:sz w:val="30"/>
          <w:szCs w:val="30"/>
        </w:rPr>
        <w:t>За получением подробной информации о порядке обеспечения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дифференцированного учета в соответствии с реализованным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техническим решением, рекомендуем обращаться в центры технического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обслуживания (в отношении кассовых суммирующих аппаратов) или к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операторам программных кассовых систем (в отношении программных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касс).</w:t>
      </w:r>
    </w:p>
    <w:p w14:paraId="54393C2B" w14:textId="34D85430" w:rsidR="00D72B32" w:rsidRPr="00AC74C2" w:rsidRDefault="00D72B32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C74C2">
        <w:rPr>
          <w:rFonts w:ascii="Times New Roman" w:hAnsi="Times New Roman" w:cs="Times New Roman"/>
          <w:color w:val="000000"/>
          <w:sz w:val="30"/>
          <w:szCs w:val="30"/>
        </w:rPr>
        <w:t>Обращаем внимание, что Указом № 378 не предусмотрены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требования к информации, которая должна быть указана в наименовании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реализованного товара, отображаемого в платежном документе.</w:t>
      </w:r>
    </w:p>
    <w:p w14:paraId="4037E46F" w14:textId="32DBADA9" w:rsidR="00D72B32" w:rsidRPr="00AC74C2" w:rsidRDefault="00D72B32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C74C2">
        <w:rPr>
          <w:rFonts w:ascii="Times New Roman" w:hAnsi="Times New Roman" w:cs="Times New Roman"/>
          <w:color w:val="000000"/>
          <w:sz w:val="30"/>
          <w:szCs w:val="30"/>
        </w:rPr>
        <w:t>При этом отмечаем, что в соответствии с пунктом 98 Правил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продажи отдельных видов товаров и осуществления общественного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питания, утвержденных постановлением Совета Министров Республики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Беларусь от 22.07.2014 № 703 (далее – Правила), при продаже ювелирных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и других изделий на каждое такое изделие выписывается товарный чек в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двух экземплярах, в котором указываются наименование изделия,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наименование продавца, артикул, проба, масса драгоценного металла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(при наличии сведений о ней), номер сертификата (аттестата) или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другого документа (паспорта), дата продажи, цена изделия, подпись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лица, осуществляющего продажу.</w:t>
      </w:r>
    </w:p>
    <w:p w14:paraId="594E6F6C" w14:textId="0E04DAE7" w:rsidR="006A7E94" w:rsidRPr="00AC74C2" w:rsidRDefault="00D72B32" w:rsidP="00AC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74C2">
        <w:rPr>
          <w:rFonts w:ascii="Times New Roman" w:hAnsi="Times New Roman" w:cs="Times New Roman"/>
          <w:color w:val="000000"/>
          <w:sz w:val="30"/>
          <w:szCs w:val="30"/>
        </w:rPr>
        <w:t>Таким образом, до проведения организационно-технических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мероприятий по настройке внутренних или внешних баз товаров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полагаем возможным указывать в поле платежного документа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”Наименование товара“ обобщенное наименование, например,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”Ювелирное и другое изделие“, без конкретизации характеристик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реализованного изделия, поскольку необходимая потребителю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информация будет указана в товарном чеке, оформленном в соответствии</w:t>
      </w:r>
      <w:r w:rsidR="00AC74C2" w:rsidRPr="00AC74C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C74C2">
        <w:rPr>
          <w:rFonts w:ascii="Times New Roman" w:hAnsi="Times New Roman" w:cs="Times New Roman"/>
          <w:color w:val="000000"/>
          <w:sz w:val="30"/>
          <w:szCs w:val="30"/>
        </w:rPr>
        <w:t>с пунктом 98 Правил.</w:t>
      </w:r>
    </w:p>
    <w:sectPr w:rsidR="006A7E94" w:rsidRPr="00AC74C2" w:rsidSect="00B707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B2A8B"/>
    <w:multiLevelType w:val="hybridMultilevel"/>
    <w:tmpl w:val="67E40E7C"/>
    <w:lvl w:ilvl="0" w:tplc="20A23F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70"/>
    <w:rsid w:val="00030B61"/>
    <w:rsid w:val="000838E2"/>
    <w:rsid w:val="000A5F51"/>
    <w:rsid w:val="00120177"/>
    <w:rsid w:val="00150156"/>
    <w:rsid w:val="001B5788"/>
    <w:rsid w:val="00214B10"/>
    <w:rsid w:val="002668B3"/>
    <w:rsid w:val="002A7B7C"/>
    <w:rsid w:val="00305773"/>
    <w:rsid w:val="00335F4B"/>
    <w:rsid w:val="00343B6F"/>
    <w:rsid w:val="00363DE4"/>
    <w:rsid w:val="00380BC8"/>
    <w:rsid w:val="003F2165"/>
    <w:rsid w:val="00413430"/>
    <w:rsid w:val="00422BD6"/>
    <w:rsid w:val="004529F7"/>
    <w:rsid w:val="00456384"/>
    <w:rsid w:val="004A07D3"/>
    <w:rsid w:val="004E512C"/>
    <w:rsid w:val="005243DB"/>
    <w:rsid w:val="005528C3"/>
    <w:rsid w:val="0057331D"/>
    <w:rsid w:val="005E17FB"/>
    <w:rsid w:val="005E477C"/>
    <w:rsid w:val="00654FB5"/>
    <w:rsid w:val="0069678D"/>
    <w:rsid w:val="006A7E94"/>
    <w:rsid w:val="006F2FA3"/>
    <w:rsid w:val="00785B14"/>
    <w:rsid w:val="007A6F10"/>
    <w:rsid w:val="007D2B6C"/>
    <w:rsid w:val="008169D2"/>
    <w:rsid w:val="008674ED"/>
    <w:rsid w:val="00870B1B"/>
    <w:rsid w:val="008822B5"/>
    <w:rsid w:val="00897142"/>
    <w:rsid w:val="00913970"/>
    <w:rsid w:val="00946D4A"/>
    <w:rsid w:val="00972B01"/>
    <w:rsid w:val="009B662E"/>
    <w:rsid w:val="00A0054C"/>
    <w:rsid w:val="00A10A67"/>
    <w:rsid w:val="00A35F34"/>
    <w:rsid w:val="00A94E88"/>
    <w:rsid w:val="00AB57DE"/>
    <w:rsid w:val="00AC74C2"/>
    <w:rsid w:val="00B0387B"/>
    <w:rsid w:val="00B05906"/>
    <w:rsid w:val="00B30870"/>
    <w:rsid w:val="00B32DF0"/>
    <w:rsid w:val="00B70718"/>
    <w:rsid w:val="00B71CCF"/>
    <w:rsid w:val="00B87F3E"/>
    <w:rsid w:val="00B95ED7"/>
    <w:rsid w:val="00BD4D71"/>
    <w:rsid w:val="00C00F16"/>
    <w:rsid w:val="00C528F0"/>
    <w:rsid w:val="00C6659E"/>
    <w:rsid w:val="00CE7279"/>
    <w:rsid w:val="00CE7786"/>
    <w:rsid w:val="00CE7E93"/>
    <w:rsid w:val="00D108D4"/>
    <w:rsid w:val="00D2276C"/>
    <w:rsid w:val="00D35F9D"/>
    <w:rsid w:val="00D5294F"/>
    <w:rsid w:val="00D72B32"/>
    <w:rsid w:val="00DA63AD"/>
    <w:rsid w:val="00DD3EB1"/>
    <w:rsid w:val="00E0365B"/>
    <w:rsid w:val="00EE761A"/>
    <w:rsid w:val="00F51D3F"/>
    <w:rsid w:val="00F60FE5"/>
    <w:rsid w:val="00F71A85"/>
    <w:rsid w:val="00F827B5"/>
    <w:rsid w:val="00F84CFB"/>
    <w:rsid w:val="00FE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CC22F"/>
  <w15:docId w15:val="{0A4557C1-F007-4A70-87B8-6C6EDEB8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087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83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674E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30"/>
      <w:szCs w:val="24"/>
      <w:lang w:eastAsia="ru-RU"/>
    </w:rPr>
  </w:style>
  <w:style w:type="character" w:customStyle="1" w:styleId="word-wrapper">
    <w:name w:val="word-wrapper"/>
    <w:basedOn w:val="a0"/>
    <w:rsid w:val="009B662E"/>
  </w:style>
  <w:style w:type="character" w:customStyle="1" w:styleId="fake-non-breaking-space">
    <w:name w:val="fake-non-breaking-space"/>
    <w:basedOn w:val="a0"/>
    <w:rsid w:val="009B662E"/>
  </w:style>
  <w:style w:type="paragraph" w:customStyle="1" w:styleId="p-normal">
    <w:name w:val="p-normal"/>
    <w:basedOn w:val="a"/>
    <w:rsid w:val="00335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l-text-alignjustify">
    <w:name w:val="il-text-align_justify"/>
    <w:basedOn w:val="a"/>
    <w:rsid w:val="00335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onsnonformat">
    <w:name w:val="p-consnonformat"/>
    <w:basedOn w:val="a"/>
    <w:rsid w:val="00D35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-weightbold">
    <w:name w:val="font-weight_bold"/>
    <w:basedOn w:val="a0"/>
    <w:rsid w:val="00D35F9D"/>
  </w:style>
  <w:style w:type="paragraph" w:customStyle="1" w:styleId="il-text-indent095cm">
    <w:name w:val="il-text-indent_0_95cm"/>
    <w:basedOn w:val="a"/>
    <w:rsid w:val="00D35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5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5F9D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A10A67"/>
    <w:rPr>
      <w:color w:val="0000FF"/>
      <w:u w:val="single"/>
    </w:rPr>
  </w:style>
  <w:style w:type="paragraph" w:customStyle="1" w:styleId="ConsPlusTitle">
    <w:name w:val="ConsPlusTitle"/>
    <w:uiPriority w:val="99"/>
    <w:rsid w:val="000A5F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20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120177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Синочкина Лариса Владимировна</dc:creator>
  <cp:keywords/>
  <dc:description/>
  <cp:lastModifiedBy>Коледа Татьяна Леонидовна</cp:lastModifiedBy>
  <cp:revision>2</cp:revision>
  <cp:lastPrinted>2025-12-31T09:01:00Z</cp:lastPrinted>
  <dcterms:created xsi:type="dcterms:W3CDTF">2026-01-12T08:29:00Z</dcterms:created>
  <dcterms:modified xsi:type="dcterms:W3CDTF">2026-01-12T08:29:00Z</dcterms:modified>
</cp:coreProperties>
</file>