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4086B" w14:textId="77777777" w:rsidR="001B1E05" w:rsidRDefault="001A3D2D" w:rsidP="001B1E05">
      <w:pPr>
        <w:pStyle w:val="1"/>
        <w:spacing w:line="240" w:lineRule="auto"/>
        <w:ind w:firstLine="0"/>
        <w:rPr>
          <w:rStyle w:val="a3"/>
          <w:b/>
        </w:rPr>
      </w:pPr>
      <w:r w:rsidRPr="001B1E05">
        <w:rPr>
          <w:rStyle w:val="a3"/>
          <w:b/>
        </w:rPr>
        <w:t xml:space="preserve">О налогообложении акцизами </w:t>
      </w:r>
    </w:p>
    <w:p w14:paraId="14FC5265" w14:textId="411375B4" w:rsidR="00241352" w:rsidRDefault="001A3D2D" w:rsidP="001B1E05">
      <w:pPr>
        <w:pStyle w:val="1"/>
        <w:spacing w:line="240" w:lineRule="auto"/>
        <w:ind w:firstLine="0"/>
        <w:rPr>
          <w:rStyle w:val="a3"/>
          <w:b/>
        </w:rPr>
      </w:pPr>
      <w:r w:rsidRPr="001B1E05">
        <w:rPr>
          <w:rStyle w:val="a3"/>
          <w:b/>
        </w:rPr>
        <w:t>безалкогольных энергетических напитков</w:t>
      </w:r>
    </w:p>
    <w:p w14:paraId="229752A9" w14:textId="77777777" w:rsidR="001B1E05" w:rsidRPr="001B1E05" w:rsidRDefault="001B1E05" w:rsidP="001B1E05">
      <w:pPr>
        <w:pStyle w:val="1"/>
        <w:spacing w:line="240" w:lineRule="auto"/>
        <w:ind w:firstLine="0"/>
        <w:rPr>
          <w:b/>
        </w:rPr>
      </w:pPr>
    </w:p>
    <w:p w14:paraId="2EF1BAC5" w14:textId="3C384835" w:rsidR="00241352" w:rsidRDefault="001A3D2D">
      <w:pPr>
        <w:pStyle w:val="1"/>
        <w:spacing w:line="240" w:lineRule="auto"/>
        <w:ind w:firstLine="700"/>
        <w:jc w:val="both"/>
      </w:pPr>
      <w:r>
        <w:rPr>
          <w:rStyle w:val="a3"/>
        </w:rPr>
        <w:t>По вопросу налогообложения акцизами безалкогольных энергетических напитков Министерство по налогам и сборам Республики Беларусь, Министерство финансов Республики Беларусь, Государственный таможенный комитет Республики Беларусь, Министерство здравоохранения Республики Беларусь</w:t>
      </w:r>
      <w:r w:rsidR="00B65411">
        <w:rPr>
          <w:rStyle w:val="a3"/>
        </w:rPr>
        <w:t xml:space="preserve"> </w:t>
      </w:r>
      <w:r>
        <w:rPr>
          <w:rStyle w:val="a3"/>
        </w:rPr>
        <w:t>и Белорусский государственный концерн пищевой промышленности «</w:t>
      </w:r>
      <w:proofErr w:type="spellStart"/>
      <w:r>
        <w:rPr>
          <w:rStyle w:val="a3"/>
        </w:rPr>
        <w:t>Белгоспищепром</w:t>
      </w:r>
      <w:proofErr w:type="spellEnd"/>
      <w:r>
        <w:rPr>
          <w:rStyle w:val="a3"/>
        </w:rPr>
        <w:t>» РАЗЪЯСНЯЮТ следующее.</w:t>
      </w:r>
    </w:p>
    <w:p w14:paraId="0A96D563" w14:textId="77777777" w:rsidR="00241352" w:rsidRDefault="001A3D2D">
      <w:pPr>
        <w:pStyle w:val="1"/>
        <w:spacing w:line="240" w:lineRule="auto"/>
        <w:ind w:firstLine="700"/>
        <w:jc w:val="both"/>
      </w:pPr>
      <w:r>
        <w:rPr>
          <w:rStyle w:val="a3"/>
        </w:rPr>
        <w:t>С 01.01.2026 безалкогольные энергетические напитки признаются подакцизными товарами (подпункт 1.18 пункта 1 статьи 150 Налогового кодекса Республики Беларусь, далее - Кодекс).</w:t>
      </w:r>
    </w:p>
    <w:p w14:paraId="5784E4D2" w14:textId="77777777" w:rsidR="00241352" w:rsidRDefault="001A3D2D">
      <w:pPr>
        <w:pStyle w:val="1"/>
        <w:spacing w:line="240" w:lineRule="auto"/>
        <w:ind w:firstLine="700"/>
        <w:jc w:val="both"/>
      </w:pPr>
      <w:r>
        <w:rPr>
          <w:rStyle w:val="a3"/>
        </w:rPr>
        <w:t>В соответствии с пунктом 1 статьи 13 Кодекса термины гражданского права и других отраслей права, используемые в Кодексе, применяются в тех значениях, в каких они используются в этих отраслях права, если иное не установлено Кодексом.</w:t>
      </w:r>
    </w:p>
    <w:p w14:paraId="7EF406CB" w14:textId="2B138E7F" w:rsidR="00241352" w:rsidRDefault="001A3D2D" w:rsidP="001B1E05">
      <w:pPr>
        <w:pStyle w:val="1"/>
        <w:spacing w:line="240" w:lineRule="auto"/>
        <w:ind w:firstLine="697"/>
        <w:jc w:val="both"/>
      </w:pPr>
      <w:r>
        <w:rPr>
          <w:rStyle w:val="a3"/>
        </w:rPr>
        <w:t>В отношении безалкогольных энергетических напитков Кодексом установлено, что для целей подпункта 1.18 пункта 1 статьи 150 Кодекса безалкогольными энергетическими напитками признаются безалкогольные напитки, классифицируемые кодами 2202 10 000 0,</w:t>
      </w:r>
      <w:r w:rsidR="001B1E05">
        <w:rPr>
          <w:rStyle w:val="a3"/>
        </w:rPr>
        <w:t xml:space="preserve"> </w:t>
      </w:r>
      <w:r w:rsidRPr="00002029">
        <w:rPr>
          <w:rStyle w:val="a3"/>
          <w:lang w:eastAsia="en-US"/>
        </w:rPr>
        <w:t xml:space="preserve">2202 99 180 0 </w:t>
      </w:r>
      <w:r>
        <w:rPr>
          <w:rStyle w:val="a3"/>
        </w:rPr>
        <w:t xml:space="preserve">единой Товарной номенклатуры внешнеэкономической деятельности Евразийского экономического союза, в составе которых содержится </w:t>
      </w:r>
      <w:r>
        <w:rPr>
          <w:rStyle w:val="a3"/>
          <w:b/>
          <w:bCs/>
        </w:rPr>
        <w:t xml:space="preserve">хотя бы одно (один) из тонизирующих </w:t>
      </w:r>
      <w:r>
        <w:rPr>
          <w:rStyle w:val="a3"/>
        </w:rPr>
        <w:t>веществ (компонентов), за исключением чая, кофе и напитков на их основе.</w:t>
      </w:r>
    </w:p>
    <w:p w14:paraId="72B59899" w14:textId="77777777" w:rsidR="00241352" w:rsidRDefault="001A3D2D" w:rsidP="001B1E05">
      <w:pPr>
        <w:pStyle w:val="1"/>
        <w:spacing w:line="240" w:lineRule="auto"/>
        <w:ind w:firstLine="697"/>
        <w:jc w:val="both"/>
      </w:pPr>
      <w:r>
        <w:rPr>
          <w:rStyle w:val="a3"/>
        </w:rPr>
        <w:t xml:space="preserve">Под тонизирующими веществами (компонентами) понимаются </w:t>
      </w:r>
      <w:r>
        <w:rPr>
          <w:rStyle w:val="a3"/>
          <w:b/>
          <w:bCs/>
        </w:rPr>
        <w:t>оказывающие тонизирующее действие:</w:t>
      </w:r>
    </w:p>
    <w:p w14:paraId="3BAC135A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 xml:space="preserve">кофеин, содержащие кофеин растения (растительные экстракты), </w:t>
      </w:r>
      <w:proofErr w:type="spellStart"/>
      <w:r>
        <w:rPr>
          <w:rStyle w:val="a3"/>
        </w:rPr>
        <w:t>гуарана</w:t>
      </w:r>
      <w:proofErr w:type="spellEnd"/>
      <w:r>
        <w:rPr>
          <w:rStyle w:val="a3"/>
        </w:rPr>
        <w:t>, мате;</w:t>
      </w:r>
    </w:p>
    <w:p w14:paraId="536F4194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 xml:space="preserve">лекарственные растения (женьшень, </w:t>
      </w:r>
      <w:proofErr w:type="spellStart"/>
      <w:r>
        <w:rPr>
          <w:rStyle w:val="a3"/>
        </w:rPr>
        <w:t>левзея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родиола</w:t>
      </w:r>
      <w:proofErr w:type="spellEnd"/>
      <w:r>
        <w:rPr>
          <w:rStyle w:val="a3"/>
        </w:rPr>
        <w:t xml:space="preserve"> розовая, лимонник, элеутерококк) и их экстракты.</w:t>
      </w:r>
    </w:p>
    <w:p w14:paraId="6E33BB75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 xml:space="preserve">При применении ставок акцизов в отношении </w:t>
      </w:r>
      <w:r>
        <w:rPr>
          <w:rStyle w:val="a3"/>
          <w:b/>
          <w:bCs/>
        </w:rPr>
        <w:t xml:space="preserve">производимых </w:t>
      </w:r>
      <w:r>
        <w:rPr>
          <w:rStyle w:val="a3"/>
        </w:rPr>
        <w:t xml:space="preserve">на территории Республики Беларусь </w:t>
      </w:r>
      <w:r>
        <w:rPr>
          <w:rStyle w:val="a3"/>
          <w:b/>
          <w:bCs/>
        </w:rPr>
        <w:t xml:space="preserve">или ввозимых </w:t>
      </w:r>
      <w:r>
        <w:rPr>
          <w:rStyle w:val="a3"/>
        </w:rPr>
        <w:t xml:space="preserve">подакцизных товаров следует руководствоваться как наименованием товара, так и его кодом в соответствии с единой Товарной номенклатурой внешнеэкономической деятельности Евразийского экономического союза (далее - </w:t>
      </w:r>
      <w:r>
        <w:rPr>
          <w:rStyle w:val="a3"/>
          <w:lang w:val="en-US" w:eastAsia="en-US"/>
        </w:rPr>
        <w:t>TH</w:t>
      </w:r>
      <w:r w:rsidRPr="00002029">
        <w:rPr>
          <w:rStyle w:val="a3"/>
          <w:lang w:eastAsia="en-US"/>
        </w:rPr>
        <w:t xml:space="preserve"> </w:t>
      </w:r>
      <w:r>
        <w:rPr>
          <w:rStyle w:val="a3"/>
        </w:rPr>
        <w:t>ВЭД ЕАЭС).</w:t>
      </w:r>
    </w:p>
    <w:p w14:paraId="51AB5889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 xml:space="preserve">Ставки акцизов на безалкогольные энергетические напитки, классифицируемые кодами 2202 10 000 0, 2202 99 180 0 </w:t>
      </w:r>
      <w:r>
        <w:rPr>
          <w:rStyle w:val="a3"/>
          <w:lang w:val="en-US" w:eastAsia="en-US"/>
        </w:rPr>
        <w:t>TH</w:t>
      </w:r>
      <w:r w:rsidRPr="00002029">
        <w:rPr>
          <w:rStyle w:val="a3"/>
          <w:lang w:eastAsia="en-US"/>
        </w:rPr>
        <w:t xml:space="preserve"> </w:t>
      </w:r>
      <w:r>
        <w:rPr>
          <w:rStyle w:val="a3"/>
        </w:rPr>
        <w:t>ВЭД ЕАЭС, установлены пунктом 9 приложения 1 к Кодексу.</w:t>
      </w:r>
    </w:p>
    <w:p w14:paraId="3570624D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>Таким образом, при отнесении безалкогольных энергетических напитков к подакцизным товарам необходимо одновременно учитывать такие основные критерии, как:</w:t>
      </w:r>
    </w:p>
    <w:p w14:paraId="3377F858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>наименование товара;</w:t>
      </w:r>
    </w:p>
    <w:p w14:paraId="1C7F0FAD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>его функциональное назначение;</w:t>
      </w:r>
    </w:p>
    <w:p w14:paraId="5189332B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 xml:space="preserve">его код </w:t>
      </w:r>
      <w:r>
        <w:rPr>
          <w:rStyle w:val="a3"/>
          <w:lang w:val="en-US" w:eastAsia="en-US"/>
        </w:rPr>
        <w:t>TH</w:t>
      </w:r>
      <w:r w:rsidRPr="00002029">
        <w:rPr>
          <w:rStyle w:val="a3"/>
          <w:lang w:eastAsia="en-US"/>
        </w:rPr>
        <w:t xml:space="preserve"> </w:t>
      </w:r>
      <w:r>
        <w:rPr>
          <w:rStyle w:val="a3"/>
        </w:rPr>
        <w:t>ВЭД ЕАЭС;</w:t>
      </w:r>
    </w:p>
    <w:p w14:paraId="177CD1DD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 xml:space="preserve">наличие в составе напитка тонизирующих веществ (компонентов), оказывающих тонизирующее действие (кофеин, содержащие кофеин </w:t>
      </w:r>
      <w:r>
        <w:rPr>
          <w:rStyle w:val="a3"/>
        </w:rPr>
        <w:lastRenderedPageBreak/>
        <w:t xml:space="preserve">растения (растительные экстракты), </w:t>
      </w:r>
      <w:proofErr w:type="spellStart"/>
      <w:r>
        <w:rPr>
          <w:rStyle w:val="a3"/>
        </w:rPr>
        <w:t>гуарана</w:t>
      </w:r>
      <w:proofErr w:type="spellEnd"/>
      <w:r>
        <w:rPr>
          <w:rStyle w:val="a3"/>
        </w:rPr>
        <w:t xml:space="preserve">, мате; лекарственные растения (женьшень, </w:t>
      </w:r>
      <w:proofErr w:type="spellStart"/>
      <w:r>
        <w:rPr>
          <w:rStyle w:val="a3"/>
        </w:rPr>
        <w:t>левзея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родиола</w:t>
      </w:r>
      <w:proofErr w:type="spellEnd"/>
      <w:r>
        <w:rPr>
          <w:rStyle w:val="a3"/>
        </w:rPr>
        <w:t xml:space="preserve"> розовая, лимонник, элеутерококк) и их экстракты).</w:t>
      </w:r>
    </w:p>
    <w:p w14:paraId="2A8BCB93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>В соответствии с Техническим регламентом Таможенного союза «О безопасности пищевой продукции» (ТР ТС 021/2011) тонизирующие напитки - это безалкогольные и слабоалкогольные напитки, содержащие тонизирующие вещества (компоненты), в том числе растительного происхождения, в количестве, достаточном для обеспечения тонизирующего эффекта на организм человека, за исключением чая, кофе и напитков на их основе.</w:t>
      </w:r>
    </w:p>
    <w:p w14:paraId="500D9A65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 xml:space="preserve">Межгосударственным стандартом ГОСТ 34975-2023 «Напитки безалкогольные тонизирующие. Общие технические условия» для напитков, содержащих кофеин или экстракты растений, его содержащих, массовая концентрация кофеина в безалкогольном тонизирующем напитке должна соответствовать диапазону 151-400 мг/куб. </w:t>
      </w:r>
      <w:proofErr w:type="spellStart"/>
      <w:r>
        <w:rPr>
          <w:rStyle w:val="a3"/>
        </w:rPr>
        <w:t>дм</w:t>
      </w:r>
      <w:proofErr w:type="spellEnd"/>
      <w:r>
        <w:rPr>
          <w:rStyle w:val="a3"/>
        </w:rPr>
        <w:t>., для тонизирующих напитков массовая доля сухих веществ должна составлять не более 10,0 процентов, для энергетических напитков - 10,0 и более процентов.</w:t>
      </w:r>
    </w:p>
    <w:p w14:paraId="34E90649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>При этом содержание кофеина в тонизирующих напитках не должно превышать 400 мг/</w:t>
      </w:r>
      <w:proofErr w:type="spellStart"/>
      <w:proofErr w:type="gramStart"/>
      <w:r>
        <w:rPr>
          <w:rStyle w:val="a3"/>
        </w:rPr>
        <w:t>куб.дм</w:t>
      </w:r>
      <w:proofErr w:type="spellEnd"/>
      <w:proofErr w:type="gramEnd"/>
      <w:r>
        <w:rPr>
          <w:rStyle w:val="a3"/>
        </w:rPr>
        <w:t xml:space="preserve"> (статья 9 ТР ТС 021/2011).</w:t>
      </w:r>
    </w:p>
    <w:p w14:paraId="6AA2E014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>Безалкогольные напитки, содержащие кофеин в количестве, превышающем 150 мг/л, и (или) лекарственные растения и их экстракты в количестве, достаточном для обеспечения тонизирующего эффекта на организм человека, должны маркироваться надписью: «Не рекомендуется употребление детьми в возрасте до 18 лет, при беременности и кормлении грудью, а также лицами, страдающими повышенной нервной возбудимостью, бессонницей, артериальной гипертензией» (пункт 4.1 статьи 4 Технического регламента Таможенного союза «Пищевая продукция в части ее маркировки» (ТР ТС 022/2011)).</w:t>
      </w:r>
    </w:p>
    <w:p w14:paraId="057B5D00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 xml:space="preserve">Вместе с тем, для безалкогольных напитков кофеин может использоваться в качестве </w:t>
      </w:r>
      <w:proofErr w:type="spellStart"/>
      <w:r>
        <w:rPr>
          <w:rStyle w:val="a3"/>
        </w:rPr>
        <w:t>вкусоароматического</w:t>
      </w:r>
      <w:proofErr w:type="spellEnd"/>
      <w:r>
        <w:rPr>
          <w:rStyle w:val="a3"/>
        </w:rPr>
        <w:t xml:space="preserve"> вещества. Одновременно установлены ограничения для использования кофеина в качестве </w:t>
      </w:r>
      <w:proofErr w:type="spellStart"/>
      <w:r>
        <w:rPr>
          <w:rStyle w:val="a3"/>
        </w:rPr>
        <w:t>вкусоароматического</w:t>
      </w:r>
      <w:proofErr w:type="spellEnd"/>
      <w:r>
        <w:rPr>
          <w:rStyle w:val="a3"/>
        </w:rPr>
        <w:t xml:space="preserve"> вещества для безалкогольных напитков - в количестве, не превышающем 150 мг/кг (Технический регламент Таможенного союза «Требования безопасности пищевых добавок, ароматизаторов и технологических вспомогательных средств» (ТР ТС 029/2012)). Маркировка упакованной (маркировка потребительской упаковки) пищевой продукции, содержащей ароматизаторы, включая кофеин, дополнительно должна включать соответствующую информацию, которая указывается на упаковке, или этикетке, или листе-вкладыше: о кофеине, используемом в составе ароматизаторов при производстве пищевой продукции. Указанная информация должна быть указана в составе пищевой продукции непосредственно после слова «ароматизатор» (статья 9 ТР ТС 029/2012).</w:t>
      </w:r>
    </w:p>
    <w:p w14:paraId="68AB7488" w14:textId="77777777" w:rsidR="00241352" w:rsidRDefault="001A3D2D">
      <w:pPr>
        <w:pStyle w:val="1"/>
        <w:ind w:firstLine="700"/>
        <w:jc w:val="both"/>
      </w:pPr>
      <w:r>
        <w:rPr>
          <w:rStyle w:val="a3"/>
        </w:rPr>
        <w:t xml:space="preserve">Исходя из вышеизложенной информации, к безалкогольным энергетическим напиткам для целей налогообложения акцизами следует относить классифицируемые вышеуказанными кодами </w:t>
      </w:r>
      <w:r>
        <w:rPr>
          <w:rStyle w:val="a3"/>
          <w:lang w:val="en-US" w:eastAsia="en-US"/>
        </w:rPr>
        <w:t>TH</w:t>
      </w:r>
      <w:r w:rsidRPr="00002029">
        <w:rPr>
          <w:rStyle w:val="a3"/>
          <w:lang w:eastAsia="en-US"/>
        </w:rPr>
        <w:t xml:space="preserve"> </w:t>
      </w:r>
      <w:r>
        <w:rPr>
          <w:rStyle w:val="a3"/>
        </w:rPr>
        <w:t>ВЭД ЕАЭС</w:t>
      </w:r>
    </w:p>
    <w:p w14:paraId="14A273B4" w14:textId="77777777" w:rsidR="00241352" w:rsidRDefault="001A3D2D">
      <w:pPr>
        <w:pStyle w:val="1"/>
        <w:spacing w:line="240" w:lineRule="auto"/>
        <w:ind w:firstLine="0"/>
        <w:jc w:val="both"/>
      </w:pPr>
      <w:r>
        <w:rPr>
          <w:rStyle w:val="a3"/>
        </w:rPr>
        <w:lastRenderedPageBreak/>
        <w:t>(за исключением напитков на основе чая, кофе) напитки с массовой долей сухих веществ 10,0 и более процентов, содержащие одно (один) из следующих веществ (компонентов):</w:t>
      </w:r>
    </w:p>
    <w:p w14:paraId="373D8241" w14:textId="77777777" w:rsidR="00241352" w:rsidRDefault="001A3D2D">
      <w:pPr>
        <w:pStyle w:val="1"/>
        <w:spacing w:line="240" w:lineRule="auto"/>
        <w:ind w:firstLine="680"/>
        <w:jc w:val="both"/>
      </w:pPr>
      <w:r>
        <w:rPr>
          <w:rStyle w:val="a3"/>
        </w:rPr>
        <w:t xml:space="preserve">кофеин или растения (растительные экстракты), его содержащие, массовая концентрация которого в напитке составляет в пределах 151-400 мг/куб. </w:t>
      </w:r>
      <w:proofErr w:type="spellStart"/>
      <w:r>
        <w:rPr>
          <w:rStyle w:val="a3"/>
        </w:rPr>
        <w:t>дм</w:t>
      </w:r>
      <w:proofErr w:type="spellEnd"/>
      <w:r>
        <w:rPr>
          <w:rStyle w:val="a3"/>
        </w:rPr>
        <w:t>.;</w:t>
      </w:r>
    </w:p>
    <w:p w14:paraId="4DBAC47D" w14:textId="77777777" w:rsidR="00241352" w:rsidRDefault="001A3D2D">
      <w:pPr>
        <w:pStyle w:val="1"/>
        <w:spacing w:line="240" w:lineRule="auto"/>
        <w:ind w:firstLine="680"/>
        <w:jc w:val="both"/>
      </w:pPr>
      <w:r>
        <w:rPr>
          <w:rStyle w:val="a3"/>
        </w:rPr>
        <w:t xml:space="preserve">оказывающие тонизирующее действие </w:t>
      </w:r>
      <w:proofErr w:type="spellStart"/>
      <w:r>
        <w:rPr>
          <w:rStyle w:val="a3"/>
        </w:rPr>
        <w:t>гуарану</w:t>
      </w:r>
      <w:proofErr w:type="spellEnd"/>
      <w:r>
        <w:rPr>
          <w:rStyle w:val="a3"/>
        </w:rPr>
        <w:t>, мате;</w:t>
      </w:r>
    </w:p>
    <w:p w14:paraId="1110D730" w14:textId="77777777" w:rsidR="00241352" w:rsidRDefault="001A3D2D">
      <w:pPr>
        <w:pStyle w:val="1"/>
        <w:spacing w:line="240" w:lineRule="auto"/>
        <w:ind w:firstLine="680"/>
        <w:jc w:val="both"/>
      </w:pPr>
      <w:r>
        <w:rPr>
          <w:rStyle w:val="a3"/>
        </w:rPr>
        <w:t xml:space="preserve">оказывающие тонизирующее действие лекарственные растения (женьшень, </w:t>
      </w:r>
      <w:proofErr w:type="spellStart"/>
      <w:r>
        <w:rPr>
          <w:rStyle w:val="a3"/>
        </w:rPr>
        <w:t>левзея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родиола</w:t>
      </w:r>
      <w:proofErr w:type="spellEnd"/>
      <w:r>
        <w:rPr>
          <w:rStyle w:val="a3"/>
        </w:rPr>
        <w:t xml:space="preserve"> розовая, лимонник, элеутерококк) и их экстракты.</w:t>
      </w:r>
    </w:p>
    <w:p w14:paraId="4E1C15DE" w14:textId="77777777" w:rsidR="00241352" w:rsidRDefault="001A3D2D">
      <w:pPr>
        <w:pStyle w:val="1"/>
        <w:spacing w:line="240" w:lineRule="auto"/>
        <w:ind w:firstLine="680"/>
        <w:jc w:val="both"/>
      </w:pPr>
      <w:r>
        <w:rPr>
          <w:rStyle w:val="a3"/>
        </w:rPr>
        <w:t>Пунктом 3 статьи 150 Кодекса компетентным органам делегированы полномочия по разъяснению вопросов отнесения отдельных товаров к подакцизным (Министерство здравоохранения, Белорусский государственный концерн пищевой промышленности «</w:t>
      </w:r>
      <w:proofErr w:type="spellStart"/>
      <w:r>
        <w:rPr>
          <w:rStyle w:val="a3"/>
        </w:rPr>
        <w:t>Белгоспищепром</w:t>
      </w:r>
      <w:proofErr w:type="spellEnd"/>
      <w:r>
        <w:rPr>
          <w:rStyle w:val="a3"/>
        </w:rPr>
        <w:t>», Государственный комитет по стандартизации в пределах своей компетенции).</w:t>
      </w:r>
    </w:p>
    <w:p w14:paraId="267FBFCA" w14:textId="77777777" w:rsidR="00241352" w:rsidRDefault="001A3D2D">
      <w:pPr>
        <w:pStyle w:val="1"/>
        <w:spacing w:line="240" w:lineRule="auto"/>
        <w:ind w:firstLine="680"/>
        <w:jc w:val="both"/>
      </w:pPr>
      <w:r>
        <w:rPr>
          <w:rStyle w:val="a3"/>
        </w:rPr>
        <w:t>В зависимости от компетентного органа, которому делегированы полномочия по разъяснению вопросов отнесения товаров к подакцизным, как в отношении произведенных на территории Республики Беларусь, так и в отношении ввозимых на территорию Республики Беларусь безалкогольных энергетических напитков, субъекту хозяйствования для получения разъяснения необходимо представить в:</w:t>
      </w:r>
    </w:p>
    <w:p w14:paraId="0DED6F91" w14:textId="77777777" w:rsidR="00241352" w:rsidRDefault="001A3D2D">
      <w:pPr>
        <w:pStyle w:val="1"/>
        <w:spacing w:line="240" w:lineRule="auto"/>
        <w:ind w:firstLine="680"/>
        <w:jc w:val="both"/>
      </w:pPr>
      <w:r w:rsidRPr="001B1E05">
        <w:rPr>
          <w:rStyle w:val="a3"/>
          <w:b/>
        </w:rPr>
        <w:t>концерн «</w:t>
      </w:r>
      <w:proofErr w:type="spellStart"/>
      <w:r w:rsidRPr="001B1E05">
        <w:rPr>
          <w:rStyle w:val="a3"/>
          <w:b/>
        </w:rPr>
        <w:t>Белгоспищепром</w:t>
      </w:r>
      <w:proofErr w:type="spellEnd"/>
      <w:r w:rsidRPr="001B1E05">
        <w:rPr>
          <w:rStyle w:val="a3"/>
          <w:b/>
        </w:rPr>
        <w:t>»</w:t>
      </w:r>
      <w:r>
        <w:rPr>
          <w:rStyle w:val="a3"/>
        </w:rPr>
        <w:t>:</w:t>
      </w:r>
    </w:p>
    <w:p w14:paraId="68DDD694" w14:textId="77777777" w:rsidR="00241352" w:rsidRDefault="001A3D2D">
      <w:pPr>
        <w:pStyle w:val="1"/>
        <w:spacing w:line="240" w:lineRule="auto"/>
        <w:ind w:firstLine="680"/>
        <w:jc w:val="both"/>
      </w:pPr>
      <w:r>
        <w:rPr>
          <w:rStyle w:val="a3"/>
        </w:rPr>
        <w:t>технологическую документацию, позволяющую провести оценку компонентного (сырьевого) состава товара (продукции) и технологической ее составляющей;</w:t>
      </w:r>
    </w:p>
    <w:p w14:paraId="217DE1DB" w14:textId="77777777" w:rsidR="00241352" w:rsidRDefault="001A3D2D">
      <w:pPr>
        <w:pStyle w:val="1"/>
        <w:spacing w:line="240" w:lineRule="auto"/>
        <w:ind w:firstLine="680"/>
        <w:jc w:val="both"/>
      </w:pPr>
      <w:bookmarkStart w:id="0" w:name="_GoBack"/>
      <w:r w:rsidRPr="001B1E05">
        <w:rPr>
          <w:rStyle w:val="a3"/>
          <w:b/>
        </w:rPr>
        <w:t>Министерство здравоохранения</w:t>
      </w:r>
      <w:bookmarkEnd w:id="0"/>
      <w:r>
        <w:rPr>
          <w:rStyle w:val="a3"/>
        </w:rPr>
        <w:t>:</w:t>
      </w:r>
    </w:p>
    <w:p w14:paraId="754E4C39" w14:textId="77777777" w:rsidR="00241352" w:rsidRDefault="001A3D2D">
      <w:pPr>
        <w:pStyle w:val="1"/>
        <w:spacing w:line="240" w:lineRule="auto"/>
        <w:ind w:firstLine="680"/>
        <w:jc w:val="both"/>
      </w:pPr>
      <w:r>
        <w:rPr>
          <w:rStyle w:val="a3"/>
        </w:rPr>
        <w:t>копию нормативного документа, в соответствии с которым производится пищевая продукция (государственный (межгосударственный) стандарт, технические условия);</w:t>
      </w:r>
    </w:p>
    <w:p w14:paraId="57CF135A" w14:textId="77777777" w:rsidR="00241352" w:rsidRDefault="001A3D2D">
      <w:pPr>
        <w:pStyle w:val="1"/>
        <w:spacing w:line="240" w:lineRule="auto"/>
        <w:ind w:firstLine="680"/>
        <w:jc w:val="both"/>
      </w:pPr>
      <w:r>
        <w:rPr>
          <w:rStyle w:val="a3"/>
        </w:rPr>
        <w:t>копию технологической документации (рецептуры), в соответствии с которой производится пищевая продукция, прошедшей государственную санитарно-гигиеническую экспертизу в установленном порядке;</w:t>
      </w:r>
    </w:p>
    <w:p w14:paraId="3E264C39" w14:textId="77777777" w:rsidR="00241352" w:rsidRDefault="001A3D2D">
      <w:pPr>
        <w:pStyle w:val="1"/>
        <w:spacing w:line="240" w:lineRule="auto"/>
        <w:ind w:firstLine="680"/>
        <w:jc w:val="both"/>
      </w:pPr>
      <w:r>
        <w:rPr>
          <w:rStyle w:val="a3"/>
        </w:rPr>
        <w:t>копии документов по оценке соответствия (декларация о соответствии);</w:t>
      </w:r>
    </w:p>
    <w:p w14:paraId="5E46E918" w14:textId="77777777" w:rsidR="00241352" w:rsidRDefault="001A3D2D">
      <w:pPr>
        <w:pStyle w:val="1"/>
        <w:spacing w:line="240" w:lineRule="auto"/>
        <w:ind w:firstLine="680"/>
        <w:jc w:val="both"/>
      </w:pPr>
      <w:r>
        <w:rPr>
          <w:rStyle w:val="a3"/>
        </w:rPr>
        <w:t>удостоверение качества и безопасности с количественным составом</w:t>
      </w:r>
    </w:p>
    <w:p w14:paraId="61691502" w14:textId="7C45AD1C" w:rsidR="00241352" w:rsidRDefault="001A3D2D">
      <w:pPr>
        <w:pStyle w:val="1"/>
        <w:spacing w:line="240" w:lineRule="auto"/>
        <w:ind w:firstLine="0"/>
        <w:jc w:val="both"/>
      </w:pPr>
      <w:r>
        <w:rPr>
          <w:rStyle w:val="a3"/>
        </w:rPr>
        <w:t>входящих ингредиентов;</w:t>
      </w:r>
    </w:p>
    <w:p w14:paraId="1757DF05" w14:textId="77777777" w:rsidR="00241352" w:rsidRDefault="001A3D2D">
      <w:pPr>
        <w:pStyle w:val="1"/>
        <w:ind w:firstLine="680"/>
        <w:jc w:val="both"/>
      </w:pPr>
      <w:r>
        <w:rPr>
          <w:rStyle w:val="a3"/>
        </w:rPr>
        <w:t>маркировку (этикетку) с заявленным составом потребительской упаковки;</w:t>
      </w:r>
    </w:p>
    <w:p w14:paraId="21138EDF" w14:textId="77777777" w:rsidR="00241352" w:rsidRDefault="001A3D2D">
      <w:pPr>
        <w:pStyle w:val="1"/>
        <w:ind w:firstLine="680"/>
        <w:jc w:val="both"/>
      </w:pPr>
      <w:r>
        <w:rPr>
          <w:rStyle w:val="a3"/>
        </w:rPr>
        <w:t>протоколы испытаний на количественное содержание тонизирующих веществ.</w:t>
      </w:r>
    </w:p>
    <w:p w14:paraId="065CC281" w14:textId="5E92F863" w:rsidR="00241352" w:rsidRDefault="001A3D2D">
      <w:pPr>
        <w:spacing w:line="1" w:lineRule="exact"/>
        <w:sectPr w:rsidR="00241352" w:rsidSect="001B1E05">
          <w:headerReference w:type="default" r:id="rId6"/>
          <w:pgSz w:w="11900" w:h="16840"/>
          <w:pgMar w:top="709" w:right="790" w:bottom="709" w:left="1842" w:header="0" w:footer="1541" w:gutter="0"/>
          <w:pgNumType w:start="2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000" distB="975360" distL="0" distR="0" simplePos="0" relativeHeight="125829381" behindDoc="0" locked="0" layoutInCell="1" allowOverlap="1" wp14:anchorId="35E0F3C3" wp14:editId="474FC435">
                <wp:simplePos x="0" y="0"/>
                <wp:positionH relativeFrom="page">
                  <wp:posOffset>4260215</wp:posOffset>
                </wp:positionH>
                <wp:positionV relativeFrom="paragraph">
                  <wp:posOffset>254000</wp:posOffset>
                </wp:positionV>
                <wp:extent cx="2612390" cy="7346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C332E2" w14:textId="5392DF37" w:rsidR="00241352" w:rsidRDefault="00241352">
                            <w:pPr>
                              <w:pStyle w:val="1"/>
                              <w:spacing w:line="209" w:lineRule="auto"/>
                              <w:ind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E0F3C3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35.45pt;margin-top:20pt;width:205.7pt;height:57.85pt;z-index:125829381;visibility:visible;mso-wrap-style:square;mso-wrap-distance-left:0;mso-wrap-distance-top:20pt;mso-wrap-distance-right:0;mso-wrap-distance-bottom:7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" filled="f" stroked="f">
                <v:textbox inset="0,0,0,0">
                  <w:txbxContent>
                    <w:p w14:paraId="46C332E2" w14:textId="5392DF37" w:rsidR="00241352" w:rsidRDefault="00241352">
                      <w:pPr>
                        <w:pStyle w:val="1"/>
                        <w:spacing w:line="209" w:lineRule="auto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E5B35E" w14:textId="77777777" w:rsidR="00241352" w:rsidRDefault="00241352">
      <w:pPr>
        <w:spacing w:line="1" w:lineRule="exact"/>
      </w:pPr>
    </w:p>
    <w:sectPr w:rsidR="00241352" w:rsidSect="001B1E05">
      <w:type w:val="continuous"/>
      <w:pgSz w:w="11900" w:h="16840"/>
      <w:pgMar w:top="568" w:right="757" w:bottom="1774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1722E" w14:textId="77777777" w:rsidR="0015535C" w:rsidRDefault="0015535C">
      <w:r>
        <w:separator/>
      </w:r>
    </w:p>
  </w:endnote>
  <w:endnote w:type="continuationSeparator" w:id="0">
    <w:p w14:paraId="7FF8345E" w14:textId="77777777" w:rsidR="0015535C" w:rsidRDefault="0015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F34B" w14:textId="77777777" w:rsidR="0015535C" w:rsidRDefault="0015535C"/>
  </w:footnote>
  <w:footnote w:type="continuationSeparator" w:id="0">
    <w:p w14:paraId="6F692388" w14:textId="77777777" w:rsidR="0015535C" w:rsidRDefault="001553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6DB4" w14:textId="6B3C3996" w:rsidR="00241352" w:rsidRDefault="00241352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52"/>
    <w:rsid w:val="00002029"/>
    <w:rsid w:val="000C4CF7"/>
    <w:rsid w:val="0015535C"/>
    <w:rsid w:val="001A3D2D"/>
    <w:rsid w:val="001B1E05"/>
    <w:rsid w:val="00241352"/>
    <w:rsid w:val="00461380"/>
    <w:rsid w:val="005F46C9"/>
    <w:rsid w:val="009A099F"/>
    <w:rsid w:val="00B65411"/>
    <w:rsid w:val="00CC41F2"/>
    <w:rsid w:val="00EB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222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5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C4C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4CF7"/>
    <w:rPr>
      <w:color w:val="000000"/>
    </w:rPr>
  </w:style>
  <w:style w:type="paragraph" w:styleId="a8">
    <w:name w:val="footer"/>
    <w:basedOn w:val="a"/>
    <w:link w:val="a9"/>
    <w:uiPriority w:val="99"/>
    <w:unhideWhenUsed/>
    <w:rsid w:val="000C4C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4C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2026-01-30T06:33:00Z</dcterms:created>
  <dcterms:modified xsi:type="dcterms:W3CDTF">2026-01-30T06:33:00Z</dcterms:modified>
</cp:coreProperties>
</file>