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4928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397"/>
        <w:gridCol w:w="7531"/>
      </w:tblGrid>
      <w:tr>
        <w:trPr/>
        <w:tc>
          <w:tcPr>
            <w:tcW w:w="7397" w:type="dxa"/>
            <w:tcBorders/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napToGrid w:val="false"/>
              <w:spacing w:lineRule="exact" w:line="280"/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>
              <w:rPr>
                <w:rFonts w:eastAsia="Calibri"/>
                <w:sz w:val="30"/>
                <w:szCs w:val="30"/>
                <w:lang w:eastAsia="en-US"/>
              </w:rPr>
            </w:r>
          </w:p>
        </w:tc>
        <w:tc>
          <w:tcPr>
            <w:tcW w:w="7531" w:type="dxa"/>
            <w:tcBorders/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80"/>
              <w:ind w:firstLine="1678"/>
              <w:jc w:val="both"/>
              <w:rPr>
                <w:rFonts w:eastAsia="Calibri"/>
                <w:spacing w:val="-14"/>
                <w:sz w:val="30"/>
                <w:szCs w:val="30"/>
                <w:lang w:eastAsia="en-US"/>
              </w:rPr>
            </w:pPr>
            <w:r>
              <w:rPr>
                <w:rFonts w:eastAsia="Calibri"/>
                <w:spacing w:val="-14"/>
                <w:sz w:val="30"/>
                <w:szCs w:val="30"/>
                <w:lang w:eastAsia="en-US"/>
              </w:rPr>
              <w:t>УТВЕРЖДЕНО</w:t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80"/>
              <w:ind w:firstLine="1678"/>
              <w:jc w:val="both"/>
              <w:rPr>
                <w:rFonts w:eastAsia="Calibri"/>
                <w:spacing w:val="-14"/>
                <w:sz w:val="30"/>
                <w:szCs w:val="30"/>
                <w:lang w:eastAsia="en-US"/>
              </w:rPr>
            </w:pPr>
            <w:r>
              <w:rPr>
                <w:rFonts w:eastAsia="Calibri"/>
                <w:spacing w:val="-14"/>
                <w:sz w:val="30"/>
                <w:szCs w:val="30"/>
                <w:lang w:eastAsia="en-US"/>
              </w:rPr>
              <w:t>Протокол заседания комиссии</w:t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80"/>
              <w:ind w:firstLine="1678"/>
              <w:jc w:val="both"/>
              <w:rPr/>
            </w:pPr>
            <w:r>
              <w:rPr>
                <w:rFonts w:eastAsia="Calibri"/>
                <w:spacing w:val="-14"/>
                <w:sz w:val="30"/>
                <w:szCs w:val="30"/>
                <w:lang w:eastAsia="en-US"/>
              </w:rPr>
              <w:t xml:space="preserve">Смолевичского районного </w:t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80"/>
              <w:ind w:firstLine="1678"/>
              <w:jc w:val="both"/>
              <w:rPr>
                <w:rFonts w:eastAsia="Calibri"/>
                <w:spacing w:val="-14"/>
                <w:sz w:val="30"/>
                <w:szCs w:val="30"/>
                <w:lang w:eastAsia="en-US"/>
              </w:rPr>
            </w:pPr>
            <w:r>
              <w:rPr>
                <w:rFonts w:eastAsia="Calibri"/>
                <w:spacing w:val="-14"/>
                <w:sz w:val="30"/>
                <w:szCs w:val="30"/>
                <w:lang w:eastAsia="en-US"/>
              </w:rPr>
              <w:t>исполнительного комитета по</w:t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80"/>
              <w:ind w:firstLine="1678"/>
              <w:jc w:val="both"/>
              <w:rPr>
                <w:rFonts w:eastAsia="Calibri"/>
                <w:spacing w:val="-14"/>
                <w:sz w:val="30"/>
                <w:szCs w:val="30"/>
                <w:lang w:eastAsia="en-US"/>
              </w:rPr>
            </w:pPr>
            <w:r>
              <w:rPr>
                <w:rFonts w:eastAsia="Calibri"/>
                <w:spacing w:val="-14"/>
                <w:sz w:val="30"/>
                <w:szCs w:val="30"/>
                <w:lang w:eastAsia="en-US"/>
              </w:rPr>
              <w:t>противодействию коррупции</w:t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80"/>
              <w:ind w:firstLine="1678"/>
              <w:jc w:val="both"/>
              <w:rPr>
                <w:rFonts w:eastAsia="Calibri"/>
                <w:spacing w:val="-14"/>
                <w:sz w:val="30"/>
                <w:szCs w:val="30"/>
                <w:lang w:eastAsia="en-US"/>
              </w:rPr>
            </w:pPr>
            <w:r>
              <w:rPr>
                <w:rFonts w:eastAsia="Calibri"/>
                <w:spacing w:val="-14"/>
                <w:sz w:val="30"/>
                <w:szCs w:val="30"/>
                <w:lang w:eastAsia="en-US"/>
              </w:rPr>
              <w:t>30.12.2025 № б/н</w:t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80"/>
              <w:ind w:firstLine="1678"/>
              <w:jc w:val="both"/>
              <w:rPr>
                <w:rFonts w:eastAsia="Calibri"/>
                <w:spacing w:val="-14"/>
                <w:sz w:val="30"/>
                <w:szCs w:val="30"/>
                <w:lang w:eastAsia="en-US"/>
              </w:rPr>
            </w:pPr>
            <w:r>
              <w:rPr>
                <w:rFonts w:eastAsia="Calibri"/>
                <w:spacing w:val="-14"/>
                <w:sz w:val="30"/>
                <w:szCs w:val="30"/>
                <w:lang w:eastAsia="en-US"/>
              </w:rPr>
            </w:r>
          </w:p>
        </w:tc>
      </w:tr>
    </w:tbl>
    <w:p>
      <w:pPr>
        <w:pStyle w:val="Normal"/>
        <w:tabs>
          <w:tab w:val="clear" w:pos="708"/>
          <w:tab w:val="left" w:pos="6804" w:leader="none"/>
        </w:tabs>
        <w:spacing w:lineRule="exact" w:line="280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ПЛАН РАБОТЫ комиссии по противодействию</w:t>
      </w:r>
    </w:p>
    <w:p>
      <w:pPr>
        <w:pStyle w:val="Normal"/>
        <w:tabs>
          <w:tab w:val="clear" w:pos="708"/>
          <w:tab w:val="left" w:pos="6804" w:leader="none"/>
        </w:tabs>
        <w:spacing w:lineRule="exact" w:line="280"/>
        <w:rPr>
          <w:rFonts w:eastAsia="Calibri"/>
          <w:spacing w:val="-8"/>
          <w:sz w:val="30"/>
          <w:szCs w:val="30"/>
          <w:lang w:eastAsia="en-US"/>
        </w:rPr>
      </w:pPr>
      <w:r>
        <w:rPr>
          <w:rFonts w:eastAsia="Calibri"/>
          <w:spacing w:val="-8"/>
          <w:sz w:val="30"/>
          <w:szCs w:val="30"/>
          <w:lang w:eastAsia="en-US"/>
        </w:rPr>
        <w:t>коррупции Смолевичского райисполкома на 2026 год</w:t>
      </w:r>
    </w:p>
    <w:tbl>
      <w:tblPr>
        <w:tblW w:w="14752" w:type="dxa"/>
        <w:jc w:val="start"/>
        <w:tblInd w:w="-5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26"/>
        <w:gridCol w:w="7371"/>
        <w:gridCol w:w="1275"/>
        <w:gridCol w:w="5680"/>
      </w:tblGrid>
      <w:tr>
        <w:trPr>
          <w:trHeight w:val="351" w:hRule="atLeast"/>
        </w:trPr>
        <w:tc>
          <w:tcPr>
            <w:tcW w:w="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№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Вопросы для рассмотрение на заседании комиссии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Срок исполнения</w:t>
            </w:r>
          </w:p>
        </w:tc>
        <w:tc>
          <w:tcPr>
            <w:tcW w:w="5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Ответственные </w:t>
            </w:r>
          </w:p>
        </w:tc>
      </w:tr>
      <w:tr>
        <w:trPr>
          <w:trHeight w:val="856" w:hRule="atLeast"/>
        </w:trPr>
        <w:tc>
          <w:tcPr>
            <w:tcW w:w="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 выполнении мероприятий по предупреждению коррупционных правонарушений на 2026 год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 полугодие </w:t>
            </w:r>
          </w:p>
        </w:tc>
        <w:tc>
          <w:tcPr>
            <w:tcW w:w="5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руководители коммунальных унитарных предприятий Смолевичского  района, а также организаций с долей государственной собственности 50 % и более  (докладчик по выбору председателя комиссии)</w:t>
            </w:r>
          </w:p>
        </w:tc>
      </w:tr>
      <w:tr>
        <w:trPr>
          <w:trHeight w:val="1295" w:hRule="atLeast"/>
        </w:trPr>
        <w:tc>
          <w:tcPr>
            <w:tcW w:w="42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57" w:leader="none"/>
                <w:tab w:val="left" w:pos="4587" w:leader="none"/>
                <w:tab w:val="left" w:pos="4663" w:leader="none"/>
                <w:tab w:val="left" w:pos="7884" w:leader="none"/>
                <w:tab w:val="left" w:pos="8036" w:leader="none"/>
              </w:tabs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 принятых мерах по противодействию коррупции при проведении процедур государственных закупок и закупок за счет собственных средств коммунальными унитарными предприятиями и учреждениями Смолевичского района, а также организациями с долей государственной собственности 50 % и более</w:t>
            </w:r>
            <w:r>
              <w:rPr>
                <w:sz w:val="26"/>
                <w:szCs w:val="26"/>
              </w:rPr>
              <w:t xml:space="preserve"> </w:t>
            </w:r>
          </w:p>
          <w:p>
            <w:pPr>
              <w:pStyle w:val="Normal"/>
              <w:tabs>
                <w:tab w:val="clear" w:pos="708"/>
                <w:tab w:val="left" w:pos="2257" w:leader="none"/>
                <w:tab w:val="left" w:pos="4587" w:leader="none"/>
                <w:tab w:val="left" w:pos="4663" w:leader="none"/>
                <w:tab w:val="left" w:pos="7884" w:leader="none"/>
                <w:tab w:val="left" w:pos="8036" w:leader="none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 принятых мерах по недопущению недобросовестного посредничества при осуществлении закупок товаров (работ, услуг) и принимаемых мерах по предупреждению нарушений законодательства в данной сфере;</w:t>
            </w:r>
          </w:p>
          <w:p>
            <w:pPr>
              <w:pStyle w:val="Normal"/>
              <w:tabs>
                <w:tab w:val="clear" w:pos="708"/>
                <w:tab w:val="left" w:pos="2257" w:leader="none"/>
                <w:tab w:val="left" w:pos="4587" w:leader="none"/>
                <w:tab w:val="left" w:pos="4663" w:leader="none"/>
                <w:tab w:val="left" w:pos="7884" w:leader="none"/>
                <w:tab w:val="left" w:pos="8036" w:leader="none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tabs>
                <w:tab w:val="clear" w:pos="708"/>
                <w:tab w:val="left" w:pos="2257" w:leader="none"/>
                <w:tab w:val="left" w:pos="4587" w:leader="none"/>
                <w:tab w:val="left" w:pos="4663" w:leader="none"/>
                <w:tab w:val="left" w:pos="7884" w:leader="none"/>
                <w:tab w:val="left" w:pos="8036" w:leader="none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результатах реализации мер противодействия коррупции с сфере государственных закупок товаров (работ, услуг). Об эффективности мер, направленных на обучение (повышение квалификации) работников, задействованных в указанной сфере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pacing w:val="-24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1,2 полугодие </w:t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pacing w:val="-24"/>
                <w:sz w:val="26"/>
                <w:szCs w:val="26"/>
                <w:lang w:eastAsia="en-US"/>
              </w:rPr>
            </w:pPr>
            <w:r>
              <w:rPr>
                <w:rFonts w:eastAsia="Calibri"/>
                <w:spacing w:val="-24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pacing w:val="-24"/>
                <w:sz w:val="26"/>
                <w:szCs w:val="26"/>
                <w:lang w:eastAsia="en-US"/>
              </w:rPr>
            </w:pPr>
            <w:r>
              <w:rPr>
                <w:rFonts w:eastAsia="Calibri"/>
                <w:spacing w:val="-24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pacing w:val="-24"/>
                <w:sz w:val="26"/>
                <w:szCs w:val="26"/>
                <w:lang w:eastAsia="en-US"/>
              </w:rPr>
            </w:pPr>
            <w:r>
              <w:rPr>
                <w:rFonts w:eastAsia="Calibri"/>
                <w:spacing w:val="-24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pacing w:val="-24"/>
                <w:sz w:val="26"/>
                <w:szCs w:val="26"/>
                <w:lang w:eastAsia="en-US"/>
              </w:rPr>
            </w:pPr>
            <w:r>
              <w:rPr>
                <w:rFonts w:eastAsia="Calibri"/>
                <w:spacing w:val="-24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pacing w:val="-24"/>
                <w:sz w:val="26"/>
                <w:szCs w:val="26"/>
                <w:lang w:eastAsia="en-US"/>
              </w:rPr>
            </w:pPr>
            <w:r>
              <w:rPr>
                <w:rFonts w:eastAsia="Calibri"/>
                <w:spacing w:val="-24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pacing w:val="-24"/>
                <w:sz w:val="26"/>
                <w:szCs w:val="26"/>
                <w:lang w:eastAsia="en-US"/>
              </w:rPr>
            </w:pPr>
            <w:r>
              <w:rPr>
                <w:rFonts w:eastAsia="Calibri"/>
                <w:spacing w:val="-24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pacing w:val="-24"/>
                <w:sz w:val="26"/>
                <w:szCs w:val="26"/>
                <w:lang w:eastAsia="en-US"/>
              </w:rPr>
            </w:pPr>
            <w:r>
              <w:rPr>
                <w:rFonts w:eastAsia="Calibri"/>
                <w:spacing w:val="-24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pacing w:val="-24"/>
                <w:sz w:val="26"/>
                <w:szCs w:val="26"/>
                <w:lang w:eastAsia="en-US"/>
              </w:rPr>
            </w:pPr>
            <w:r>
              <w:rPr>
                <w:rFonts w:eastAsia="Calibri"/>
                <w:spacing w:val="-24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pacing w:val="-24"/>
                <w:sz w:val="26"/>
                <w:szCs w:val="26"/>
                <w:lang w:eastAsia="en-US"/>
              </w:rPr>
            </w:pPr>
            <w:r>
              <w:rPr>
                <w:rFonts w:eastAsia="Calibri"/>
                <w:spacing w:val="-24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pacing w:val="-24"/>
                <w:sz w:val="26"/>
                <w:szCs w:val="26"/>
                <w:lang w:eastAsia="en-US"/>
              </w:rPr>
            </w:pPr>
            <w:r>
              <w:rPr>
                <w:rFonts w:eastAsia="Calibri"/>
                <w:spacing w:val="-24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pacing w:val="-24"/>
                <w:sz w:val="26"/>
                <w:szCs w:val="26"/>
                <w:lang w:eastAsia="en-US"/>
              </w:rPr>
            </w:pPr>
            <w:r>
              <w:rPr>
                <w:rFonts w:eastAsia="Calibri"/>
                <w:spacing w:val="-24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pacing w:val="-24"/>
                <w:sz w:val="26"/>
                <w:szCs w:val="26"/>
                <w:lang w:eastAsia="en-US"/>
              </w:rPr>
            </w:pPr>
            <w:r>
              <w:rPr>
                <w:rFonts w:eastAsia="Calibri"/>
                <w:spacing w:val="-24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pacing w:val="-24"/>
                <w:sz w:val="26"/>
                <w:szCs w:val="26"/>
                <w:lang w:eastAsia="en-US"/>
              </w:rPr>
            </w:pPr>
            <w:r>
              <w:rPr>
                <w:rFonts w:eastAsia="Calibri"/>
                <w:spacing w:val="-24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pacing w:val="-24"/>
                <w:sz w:val="26"/>
                <w:szCs w:val="26"/>
                <w:lang w:eastAsia="en-US"/>
              </w:rPr>
            </w:pPr>
            <w:r>
              <w:rPr>
                <w:rFonts w:eastAsia="Calibri"/>
                <w:spacing w:val="-24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pacing w:val="-24"/>
                <w:sz w:val="26"/>
                <w:szCs w:val="26"/>
                <w:lang w:eastAsia="en-US"/>
              </w:rPr>
            </w:pPr>
            <w:r>
              <w:rPr>
                <w:rFonts w:eastAsia="Calibri"/>
                <w:spacing w:val="-24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pacing w:val="-24"/>
                <w:sz w:val="26"/>
                <w:szCs w:val="26"/>
                <w:lang w:eastAsia="en-US"/>
              </w:rPr>
            </w:pPr>
            <w:r>
              <w:rPr>
                <w:rFonts w:eastAsia="Calibri"/>
                <w:spacing w:val="-24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pacing w:val="-24"/>
                <w:sz w:val="26"/>
                <w:szCs w:val="26"/>
                <w:lang w:eastAsia="en-US"/>
              </w:rPr>
            </w:pPr>
            <w:r>
              <w:rPr>
                <w:rFonts w:eastAsia="Calibri"/>
                <w:spacing w:val="-24"/>
                <w:sz w:val="26"/>
                <w:szCs w:val="26"/>
                <w:lang w:eastAsia="en-US"/>
              </w:rPr>
              <w:t>1 полугодие</w:t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pacing w:val="-24"/>
                <w:sz w:val="26"/>
                <w:szCs w:val="26"/>
                <w:lang w:eastAsia="en-US"/>
              </w:rPr>
            </w:pPr>
            <w:r>
              <w:rPr>
                <w:rFonts w:eastAsia="Calibri"/>
                <w:spacing w:val="-24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pacing w:val="-24"/>
                <w:sz w:val="26"/>
                <w:szCs w:val="26"/>
                <w:lang w:eastAsia="en-US"/>
              </w:rPr>
            </w:pPr>
            <w:r>
              <w:rPr>
                <w:rFonts w:eastAsia="Calibri"/>
                <w:spacing w:val="-24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pacing w:val="-24"/>
                <w:sz w:val="26"/>
                <w:szCs w:val="26"/>
                <w:lang w:eastAsia="en-US"/>
              </w:rPr>
            </w:pPr>
            <w:r>
              <w:rPr>
                <w:rFonts w:eastAsia="Calibri"/>
                <w:spacing w:val="-24"/>
                <w:sz w:val="26"/>
                <w:szCs w:val="26"/>
                <w:lang w:eastAsia="en-US"/>
              </w:rPr>
            </w:r>
          </w:p>
        </w:tc>
        <w:tc>
          <w:tcPr>
            <w:tcW w:w="5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Начальник управления экономики райисполкома, </w:t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Руководители коммунальных унитарных предприятий и учреждений, организаций с долей государственной собственности 50 % и более (содокладчики по выбору председателя комиссии)</w:t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  <w:tr>
        <w:trPr>
          <w:trHeight w:val="1297" w:hRule="atLeast"/>
        </w:trPr>
        <w:tc>
          <w:tcPr>
            <w:tcW w:w="4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napToGrid w:val="false"/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W w:w="7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 соблюдении антикоррупционного законодательства при использовании служебных и специальных автомобилей коммунальными унитарными предприятиями,  учреждений,   а также организациями Смолевичского района с долей государственной собственности 50 % и более</w:t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napToGrid w:val="false"/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W w:w="5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руководители коммунальных унитарных предприятий, учреждений Смолевичского района, а также организаций с долей государственной собственности 50 % и более (докладчик по выбору председателя комиссии)</w:t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  <w:tr>
        <w:trPr>
          <w:trHeight w:val="136" w:hRule="atLeast"/>
        </w:trPr>
        <w:tc>
          <w:tcPr>
            <w:tcW w:w="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Отчет о результатах:</w:t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проверки полноты и достоверности сведений, указанных в  декларациях о  доходах и имуществе. О возможных фактах нарушений ограничений, установленных для государственных должностных лиц и приравненных к ним лиц</w:t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2257" w:leader="none"/>
                <w:tab w:val="left" w:pos="4587" w:leader="none"/>
                <w:tab w:val="left" w:pos="4663" w:leader="none"/>
                <w:tab w:val="left" w:pos="7884" w:leader="none"/>
                <w:tab w:val="left" w:pos="8036" w:leader="none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проведения тестирования кандидатов на руководящие должности государственных организаций, поступающих на государственную службу, на проверку знаний антикоррупционного законодательства, а также применении мер, направленных на недопущение назначения на руководящие должности лиц, освобожденных по дискредитирующим обстоятельствам;</w:t>
            </w:r>
          </w:p>
          <w:p>
            <w:pPr>
              <w:pStyle w:val="Normal"/>
              <w:tabs>
                <w:tab w:val="clear" w:pos="708"/>
                <w:tab w:val="left" w:pos="2257" w:leader="none"/>
                <w:tab w:val="left" w:pos="4587" w:leader="none"/>
                <w:tab w:val="left" w:pos="4663" w:leader="none"/>
                <w:tab w:val="left" w:pos="7884" w:leader="none"/>
                <w:tab w:val="left" w:pos="8036" w:leader="none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tabs>
                <w:tab w:val="clear" w:pos="708"/>
                <w:tab w:val="left" w:pos="2257" w:leader="none"/>
                <w:tab w:val="left" w:pos="4587" w:leader="none"/>
                <w:tab w:val="left" w:pos="4663" w:leader="none"/>
                <w:tab w:val="left" w:pos="7884" w:leader="none"/>
                <w:tab w:val="left" w:pos="8036" w:leader="none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соблюдения порядка предотвращения и урегулирования конфликта интересов в структурных подразделениях райисполкома с рассмотрением итогов проделанной работы на заседании комиссии</w:t>
            </w:r>
          </w:p>
          <w:p>
            <w:pPr>
              <w:pStyle w:val="Normal"/>
              <w:tabs>
                <w:tab w:val="clear" w:pos="708"/>
                <w:tab w:val="left" w:pos="2257" w:leader="none"/>
                <w:tab w:val="left" w:pos="4587" w:leader="none"/>
                <w:tab w:val="left" w:pos="4663" w:leader="none"/>
                <w:tab w:val="left" w:pos="7884" w:leader="none"/>
                <w:tab w:val="left" w:pos="8036" w:leader="none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tabs>
                <w:tab w:val="clear" w:pos="708"/>
                <w:tab w:val="left" w:pos="2257" w:leader="none"/>
                <w:tab w:val="left" w:pos="4587" w:leader="none"/>
                <w:tab w:val="left" w:pos="4663" w:leader="none"/>
                <w:tab w:val="left" w:pos="7884" w:leader="none"/>
                <w:tab w:val="left" w:pos="8036" w:leader="none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tabs>
                <w:tab w:val="clear" w:pos="708"/>
                <w:tab w:val="left" w:pos="2257" w:leader="none"/>
                <w:tab w:val="left" w:pos="4587" w:leader="none"/>
                <w:tab w:val="left" w:pos="4663" w:leader="none"/>
                <w:tab w:val="left" w:pos="7884" w:leader="none"/>
                <w:tab w:val="left" w:pos="8036" w:leader="none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принятии должностными лицами государственных органов и иных подчиненных организаций имущества (подарков), другой выгоды для себя или для третьих лиц в виде работы, услуги в связи с исполнением служебных (трудовых) обязанностей.</w:t>
            </w:r>
          </w:p>
          <w:p>
            <w:pPr>
              <w:pStyle w:val="Normal"/>
              <w:tabs>
                <w:tab w:val="clear" w:pos="708"/>
                <w:tab w:val="left" w:pos="2257" w:leader="none"/>
                <w:tab w:val="left" w:pos="4587" w:leader="none"/>
                <w:tab w:val="left" w:pos="4663" w:leader="none"/>
                <w:tab w:val="left" w:pos="7884" w:leader="none"/>
                <w:tab w:val="left" w:pos="8036" w:leader="none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tabs>
                <w:tab w:val="clear" w:pos="708"/>
                <w:tab w:val="left" w:pos="2257" w:leader="none"/>
                <w:tab w:val="left" w:pos="4587" w:leader="none"/>
                <w:tab w:val="left" w:pos="4663" w:leader="none"/>
                <w:tab w:val="left" w:pos="7884" w:leader="none"/>
                <w:tab w:val="left" w:pos="8036" w:leader="none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tabs>
                <w:tab w:val="clear" w:pos="708"/>
                <w:tab w:val="left" w:pos="2257" w:leader="none"/>
                <w:tab w:val="left" w:pos="4587" w:leader="none"/>
                <w:tab w:val="left" w:pos="4663" w:leader="none"/>
                <w:tab w:val="left" w:pos="7884" w:leader="none"/>
                <w:tab w:val="left" w:pos="8036" w:leader="none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 полугодие</w:t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отдел организационно-кадровой работы райисполкома </w:t>
            </w:r>
          </w:p>
        </w:tc>
      </w:tr>
      <w:tr>
        <w:trPr>
          <w:trHeight w:val="136" w:hRule="atLeast"/>
        </w:trPr>
        <w:tc>
          <w:tcPr>
            <w:tcW w:w="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Рассмотрение вопросов соблюдения правил этики государственного служащего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 полугодие </w:t>
            </w:r>
          </w:p>
        </w:tc>
        <w:tc>
          <w:tcPr>
            <w:tcW w:w="5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организационно-кадровой работы райисполкома</w:t>
            </w:r>
          </w:p>
        </w:tc>
      </w:tr>
      <w:tr>
        <w:trPr>
          <w:trHeight w:val="136" w:hRule="atLeast"/>
        </w:trPr>
        <w:tc>
          <w:tcPr>
            <w:tcW w:w="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 результатах анализа эффективности проведенных ревизионными комиссиями открытых акционерных обществ  ревизий (проверок), а также полноты мер, принятых по устранению выявленных нарушений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 полугодие</w:t>
            </w:r>
          </w:p>
        </w:tc>
        <w:tc>
          <w:tcPr>
            <w:tcW w:w="5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Представители государства, назначенные Смолевичским райисполкомом</w:t>
            </w:r>
          </w:p>
        </w:tc>
      </w:tr>
      <w:tr>
        <w:trPr>
          <w:trHeight w:val="136" w:hRule="atLeast"/>
        </w:trPr>
        <w:tc>
          <w:tcPr>
            <w:tcW w:w="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/>
              <w:t>О работе по освещению в средствах массовой информации вопросов противодействия коррупции, выполнении мероприятий по повышению уровня работы по формированию у общественности атмосферы нетерпимости к коррупционным проявлениям  через местные СМИ, сеть Интернет, в том числе в социальных сетях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 полугодие </w:t>
            </w:r>
          </w:p>
        </w:tc>
        <w:tc>
          <w:tcPr>
            <w:tcW w:w="5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rPr>
                <w:rFonts w:eastAsia="Calibri"/>
                <w:sz w:val="26"/>
                <w:szCs w:val="26"/>
                <w:lang w:eastAsia="en-US"/>
              </w:rPr>
            </w:pPr>
            <w:r>
              <w:rPr/>
              <w:t>Отдел идеологической работы, культуры и по делам молодежи райисполкома</w:t>
            </w:r>
          </w:p>
        </w:tc>
      </w:tr>
      <w:tr>
        <w:trPr>
          <w:trHeight w:val="136" w:hRule="atLeast"/>
        </w:trPr>
        <w:tc>
          <w:tcPr>
            <w:tcW w:w="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/>
            </w:pPr>
            <w:r>
              <w:rPr/>
              <w:t>Рассмотрение вопросов с тематикой антикоррупционной направленности, в рамках проведения единых дней информирования трудовых коллективов и населения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 полугодие</w:t>
            </w:r>
          </w:p>
        </w:tc>
        <w:tc>
          <w:tcPr>
            <w:tcW w:w="5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rPr/>
            </w:pPr>
            <w:r>
              <w:rPr/>
              <w:t>Отдел идеологической работы, культуры и по делам молодежи райисполкома</w:t>
            </w:r>
          </w:p>
        </w:tc>
      </w:tr>
      <w:tr>
        <w:trPr>
          <w:trHeight w:val="978" w:hRule="atLeast"/>
        </w:trPr>
        <w:tc>
          <w:tcPr>
            <w:tcW w:w="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 результатах анализа и контроля за состоянием работы комиссий подведомственных организаций с оценкой их качества и эффективности путем выездов членов комиссии райисполкома для участия в заседаниях комиссий подведомственных организаций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1,2 полугодие</w:t>
            </w:r>
          </w:p>
        </w:tc>
        <w:tc>
          <w:tcPr>
            <w:tcW w:w="5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Члены комиссии по противодействию коррупции Смолевичского райисполкома,</w:t>
            </w:r>
          </w:p>
        </w:tc>
      </w:tr>
      <w:tr>
        <w:trPr>
          <w:trHeight w:val="558" w:hRule="atLeast"/>
        </w:trPr>
        <w:tc>
          <w:tcPr>
            <w:tcW w:w="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W w:w="7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 состоянии преступности коррупционной направленности               в Смолевичском районе 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 полугодие</w:t>
            </w:r>
          </w:p>
        </w:tc>
        <w:tc>
          <w:tcPr>
            <w:tcW w:w="5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отдел внутренних дел райисполкома                      </w:t>
            </w:r>
          </w:p>
        </w:tc>
      </w:tr>
      <w:tr>
        <w:trPr>
          <w:trHeight w:val="420" w:hRule="atLeast"/>
        </w:trPr>
        <w:tc>
          <w:tcPr>
            <w:tcW w:w="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работы комиссии за 2026 год. Рассмотрение и утверждение Плана работы комиссии на 2027год во взаимодействии с государственными органами, осуществляющими борьбу с коррупцией 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 полугодие</w:t>
            </w:r>
          </w:p>
        </w:tc>
        <w:tc>
          <w:tcPr>
            <w:tcW w:w="5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комиссия по противодействию коррупции</w:t>
            </w:r>
          </w:p>
        </w:tc>
      </w:tr>
      <w:tr>
        <w:trPr>
          <w:trHeight w:val="420" w:hRule="atLeast"/>
        </w:trPr>
        <w:tc>
          <w:tcPr>
            <w:tcW w:w="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7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Организация и проведение выездного заседания членов комиссии по противодействию коррупции Смолевичского районного исполнительного комитета для участия в заседаниях подведомственных организациях 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1, 2 полугодие</w:t>
            </w:r>
          </w:p>
        </w:tc>
        <w:tc>
          <w:tcPr>
            <w:tcW w:w="5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Члены комиссия по противодействию коррупции Смолевичского райисполкома, </w:t>
            </w:r>
          </w:p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руководитель подведомственной организации, на базе которой планируется проведение заседания</w:t>
            </w:r>
          </w:p>
        </w:tc>
      </w:tr>
      <w:tr>
        <w:trPr>
          <w:trHeight w:val="351" w:hRule="atLeast"/>
        </w:trPr>
        <w:tc>
          <w:tcPr>
            <w:tcW w:w="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7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Рассмотрение информации правоохранительных и (или) надзорных органов, содержащих информацию о нарушениях должностными лицами райисполкома и подведомственных организаций законодательства в сфере борьбы с коррупцией 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/>
            </w:pPr>
            <w:r>
              <w:rPr>
                <w:rFonts w:eastAsia="Calibri"/>
                <w:spacing w:val="-22"/>
                <w:sz w:val="26"/>
                <w:szCs w:val="26"/>
                <w:lang w:eastAsia="en-US"/>
              </w:rPr>
              <w:t>по мере поступления</w:t>
            </w:r>
          </w:p>
        </w:tc>
        <w:tc>
          <w:tcPr>
            <w:tcW w:w="5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комиссия по противодействию коррупции</w:t>
            </w:r>
          </w:p>
        </w:tc>
      </w:tr>
      <w:tr>
        <w:trPr>
          <w:trHeight w:val="351" w:hRule="atLeast"/>
        </w:trPr>
        <w:tc>
          <w:tcPr>
            <w:tcW w:w="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7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Другие вопросы, не предусмотренные Планом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jc w:val="center"/>
              <w:rPr>
                <w:rFonts w:eastAsia="Calibri"/>
                <w:spacing w:val="-22"/>
                <w:sz w:val="26"/>
                <w:szCs w:val="26"/>
                <w:lang w:eastAsia="en-US"/>
              </w:rPr>
            </w:pPr>
            <w:r>
              <w:rPr>
                <w:rFonts w:eastAsia="Calibri"/>
                <w:spacing w:val="-22"/>
                <w:sz w:val="26"/>
                <w:szCs w:val="26"/>
                <w:lang w:eastAsia="en-US"/>
              </w:rPr>
              <w:t>По мере поступления</w:t>
            </w:r>
          </w:p>
        </w:tc>
        <w:tc>
          <w:tcPr>
            <w:tcW w:w="5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exact" w:line="24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Члены комиссии по противодействию коррупции Смолевичского райисполкома</w:t>
            </w:r>
          </w:p>
        </w:tc>
      </w:tr>
    </w:tbl>
    <w:p>
      <w:pPr>
        <w:pStyle w:val="Normal"/>
        <w:spacing w:lineRule="exact" w:line="280"/>
        <w:rPr>
          <w:sz w:val="30"/>
          <w:szCs w:val="30"/>
        </w:rPr>
      </w:pPr>
      <w:r>
        <w:rPr>
          <w:sz w:val="30"/>
          <w:szCs w:val="30"/>
        </w:rPr>
      </w:r>
    </w:p>
    <w:sectPr>
      <w:headerReference w:type="default" r:id="rId2"/>
      <w:headerReference w:type="first" r:id="rId3"/>
      <w:type w:val="nextPage"/>
      <w:pgSz w:orient="landscape" w:w="16838" w:h="11906"/>
      <w:pgMar w:left="1701" w:right="425" w:header="709" w:top="851" w:footer="0" w:bottom="851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cc" w:characterSet="windows-125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6.05pt;height:13.8pt;mso-wrap-distance-left:0pt;mso-wrap-distance-right:0pt;mso-wrap-distance-top:0pt;mso-wrap-distance-bottom:0pt;margin-top:0.05pt;mso-position-vertical-relative:text;margin-left:364.8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68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Mono" w:cs="Liberation Mono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Cs w:val="20"/>
      <w:lang w:val="en-US"/>
    </w:rPr>
  </w:style>
  <w:style w:type="character" w:styleId="Style13">
    <w:name w:val="Основной шрифт абзаца"/>
    <w:qFormat/>
    <w:rPr/>
  </w:style>
  <w:style w:type="character" w:styleId="PageNumber">
    <w:name w:val="Page Number"/>
    <w:basedOn w:val="Style13"/>
    <w:rPr/>
  </w:style>
  <w:style w:type="character" w:styleId="1">
    <w:name w:val="Заголовок 1 Знак"/>
    <w:qFormat/>
    <w:rPr>
      <w:b/>
      <w:sz w:val="24"/>
    </w:rPr>
  </w:style>
  <w:style w:type="character" w:styleId="Style14">
    <w:name w:val="Нижний колонтитул Знак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Liberation Mono" w:cs="Liberation Mono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LibreOffice/7.0.1.2$Linux_X86_64 LibreOffice_project/00$Build-2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2024-12-24T11:59:00Z</dcterms:created>
  <dc:creator>Управделами</dc:creator>
  <dc:description/>
  <cp:keywords> </cp:keywords>
  <dc:language>en-US</dc:language>
  <cp:lastModifiedBy>Наталья Пилюга</cp:lastModifiedBy>
  <cp:lastPrinted>2025-12-29T12:07:00Z</cp:lastPrinted>
  <dcterms:modified xsi:type="dcterms:W3CDTF">2026-01-06T07:35:00Z</dcterms:modified>
  <cp:revision>8</cp:revision>
  <dc:subject/>
  <dc:title>Главному редактору</dc:title>
</cp:coreProperties>
</file>